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52A98">
      <w:pPr>
        <w:spacing w:beforeLines="100"/>
        <w:ind w:firstLine="0" w:firstLineChars="0"/>
        <w:jc w:val="center"/>
        <w:outlineLvl w:val="0"/>
        <w:rPr>
          <w:rFonts w:hint="eastAsia" w:cs="仿宋"/>
          <w:b/>
          <w:bCs/>
          <w:sz w:val="44"/>
          <w:szCs w:val="44"/>
          <w:lang w:eastAsia="zh-CN"/>
        </w:rPr>
      </w:pPr>
      <w:r>
        <w:rPr>
          <w:rFonts w:hint="eastAsia" w:cs="仿宋"/>
          <w:b/>
          <w:bCs/>
          <w:sz w:val="44"/>
          <w:szCs w:val="44"/>
          <w:lang w:eastAsia="zh-CN"/>
        </w:rPr>
        <w:t>内江市东兴区粮油产业融合示范园建设</w:t>
      </w:r>
    </w:p>
    <w:p w14:paraId="5F2F3CCF">
      <w:pPr>
        <w:spacing w:beforeLines="100"/>
        <w:ind w:firstLine="0" w:firstLineChars="0"/>
        <w:jc w:val="center"/>
        <w:outlineLvl w:val="0"/>
        <w:rPr>
          <w:rFonts w:cs="仿宋"/>
          <w:b/>
          <w:bCs/>
          <w:sz w:val="44"/>
          <w:szCs w:val="44"/>
        </w:rPr>
      </w:pPr>
      <w:r>
        <w:rPr>
          <w:rFonts w:hint="eastAsia" w:cs="仿宋"/>
          <w:b/>
          <w:bCs/>
          <w:sz w:val="44"/>
          <w:szCs w:val="44"/>
          <w:lang w:eastAsia="zh-CN"/>
        </w:rPr>
        <w:t>项目</w:t>
      </w:r>
      <w:r>
        <w:rPr>
          <w:rFonts w:hint="eastAsia" w:cs="仿宋"/>
          <w:b/>
          <w:bCs/>
          <w:sz w:val="44"/>
          <w:szCs w:val="44"/>
        </w:rPr>
        <w:t>情况</w:t>
      </w:r>
    </w:p>
    <w:p w14:paraId="1AD53986">
      <w:pPr>
        <w:snapToGrid w:val="0"/>
        <w:spacing w:beforeLines="100"/>
        <w:ind w:firstLine="643"/>
        <w:outlineLvl w:val="0"/>
        <w:rPr>
          <w:rFonts w:cs="仿宋"/>
          <w:b/>
          <w:bCs/>
          <w:sz w:val="28"/>
          <w:szCs w:val="28"/>
        </w:rPr>
      </w:pPr>
      <w:r>
        <w:rPr>
          <w:rFonts w:hint="eastAsia" w:cs="仿宋"/>
          <w:b/>
          <w:bCs/>
          <w:sz w:val="28"/>
          <w:szCs w:val="28"/>
        </w:rPr>
        <w:t>一、项目基本情况</w:t>
      </w:r>
    </w:p>
    <w:p w14:paraId="13DCD88F">
      <w:pPr>
        <w:ind w:firstLine="643"/>
        <w:outlineLvl w:val="1"/>
        <w:rPr>
          <w:rFonts w:cs="仿宋"/>
          <w:b/>
          <w:sz w:val="28"/>
          <w:szCs w:val="28"/>
        </w:rPr>
      </w:pPr>
      <w:r>
        <w:rPr>
          <w:rFonts w:hint="eastAsia" w:cs="仿宋"/>
          <w:b/>
          <w:sz w:val="28"/>
          <w:szCs w:val="28"/>
        </w:rPr>
        <w:t>（一）</w:t>
      </w:r>
      <w:r>
        <w:rPr>
          <w:rFonts w:hint="eastAsia" w:cs="仿宋"/>
          <w:b/>
          <w:sz w:val="28"/>
          <w:szCs w:val="28"/>
          <w:lang w:val="en-US" w:eastAsia="zh-CN"/>
        </w:rPr>
        <w:t>省</w:t>
      </w:r>
      <w:r>
        <w:rPr>
          <w:rFonts w:hint="eastAsia" w:cs="仿宋"/>
          <w:b/>
          <w:sz w:val="28"/>
          <w:szCs w:val="28"/>
        </w:rPr>
        <w:t>市县及行业专项规划概况</w:t>
      </w:r>
    </w:p>
    <w:p w14:paraId="266D6349">
      <w:pPr>
        <w:keepNext w:val="0"/>
        <w:keepLines w:val="0"/>
        <w:pageBreakBefore w:val="0"/>
        <w:widowControl w:val="0"/>
        <w:kinsoku/>
        <w:wordWrap/>
        <w:overflowPunct/>
        <w:topLinePunct w:val="0"/>
        <w:autoSpaceDE/>
        <w:autoSpaceDN/>
        <w:bidi w:val="0"/>
        <w:adjustRightInd/>
        <w:snapToGrid/>
        <w:ind w:firstLine="640"/>
        <w:textAlignment w:val="auto"/>
        <w:outlineLvl w:val="1"/>
        <w:rPr>
          <w:sz w:val="28"/>
          <w:szCs w:val="28"/>
        </w:rPr>
      </w:pPr>
      <w:r>
        <w:rPr>
          <w:rFonts w:hint="eastAsia"/>
          <w:sz w:val="28"/>
          <w:szCs w:val="28"/>
        </w:rPr>
        <w:t>（1）</w:t>
      </w:r>
      <w:r>
        <w:rPr>
          <w:rFonts w:hint="eastAsia"/>
          <w:sz w:val="28"/>
          <w:szCs w:val="28"/>
          <w:lang w:val="en-US" w:eastAsia="zh-CN"/>
        </w:rPr>
        <w:t>四川省</w:t>
      </w:r>
      <w:r>
        <w:rPr>
          <w:rFonts w:hint="eastAsia"/>
          <w:sz w:val="28"/>
          <w:szCs w:val="28"/>
        </w:rPr>
        <w:t>行业规划</w:t>
      </w:r>
    </w:p>
    <w:p w14:paraId="74BDD816">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sz w:val="28"/>
          <w:szCs w:val="28"/>
        </w:rPr>
      </w:pPr>
      <w:r>
        <w:rPr>
          <w:rFonts w:hint="eastAsia"/>
          <w:sz w:val="28"/>
          <w:szCs w:val="28"/>
        </w:rPr>
        <w:t>项目建设符合《四川省国民经济和社会发展第十四个五年规划和二〇三五年远景目标纲要》明确提出要推进新型城镇化和乡村振兴，促进城乡融合发展。</w:t>
      </w:r>
    </w:p>
    <w:p w14:paraId="0A7D42A0">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sz w:val="28"/>
          <w:szCs w:val="28"/>
        </w:rPr>
      </w:pPr>
      <w:r>
        <w:rPr>
          <w:rFonts w:hint="eastAsia"/>
          <w:sz w:val="28"/>
          <w:szCs w:val="28"/>
        </w:rPr>
        <w:t>深入推进以人为核心的新型城镇化，全面实施乡村振兴战略，建立健全城乡融合发展体制机制和政策体系，构建工农互促、城乡互补、协调发展、共同繁荣的新型工农城乡关系。</w:t>
      </w:r>
    </w:p>
    <w:p w14:paraId="10CEEB30">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sz w:val="28"/>
          <w:szCs w:val="28"/>
        </w:rPr>
      </w:pPr>
      <w:r>
        <w:rPr>
          <w:rFonts w:hint="eastAsia"/>
          <w:sz w:val="28"/>
          <w:szCs w:val="28"/>
        </w:rPr>
        <w:t>推动农村一二三产业融合发展。实施农产品加工提升行动，支持主产区发展农畜水林产品初加工和精深加工，加快建设一批农产品加工示范园。实施农业新型流通促进行动，建设一批重点网货生产基地和产地直播基地，建立多种形式产销联合体，扩大农村电商覆盖面。实施休闲农业和乡村旅游精品工程，建设休闲观光园区、森林人家、康养基地、乡村民宿、田园综合体。加快培育乡村共享经济、创意农业，鼓励在乡村投资兴办文化创意、概念设计、软件开发、博览会展等环境友好型企业。</w:t>
      </w:r>
    </w:p>
    <w:p w14:paraId="32DAB165">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sz w:val="28"/>
          <w:szCs w:val="28"/>
        </w:rPr>
      </w:pPr>
      <w:r>
        <w:rPr>
          <w:rFonts w:hint="eastAsia"/>
          <w:sz w:val="28"/>
          <w:szCs w:val="28"/>
        </w:rPr>
        <w:t>做好乡镇区划和村级建制调整改革“后半篇”文章。围绕优化资源配置、提升发展质量、增强服务能力、提高治理效能，巩固深化“两项改革”成果。统筹农村“五网”基础设施建设，推进撤并建制村与新村委会直连畅通、全省城镇以上智慧广电网络全覆盖，建立健全乡镇污水处理设施运行维护长效机制。完善便民服务设施，增强教育、卫生、文化、养老等公共服务保障和服务能力。盘活用好撤并乡镇学校、卫生院、敬老院等闲置资产，因地制宜加强乡镇干部周转房保障。创新社区治理，实施综合服务设施“补短板”工程。</w:t>
      </w:r>
    </w:p>
    <w:p w14:paraId="4112E877">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sz w:val="28"/>
          <w:szCs w:val="28"/>
        </w:rPr>
      </w:pPr>
      <w:r>
        <w:rPr>
          <w:rFonts w:hint="eastAsia"/>
          <w:sz w:val="28"/>
          <w:szCs w:val="28"/>
        </w:rPr>
        <w:t>实现巩固拓展脱贫攻坚成果同乡村振兴有效衔接。严格落实“四个不摘”要求，保持帮扶政策总体稳定，健全防止返贫监测和帮扶机制。持续改善欠发达地区发展条件，巩固提升义务教育、基本医疗、基本住房保障水平，提高低收入人口自我发展和增收致富能力。继续加强脱贫地区基础设施建设，支持脱贫地区乡村特色产业发展壮大，促进脱贫人口稳定就业。加强易地搬迁后续扶持，完善集中安置点配套基础设施和公共服务，强化社区治理和社会管理。强化扶贫项目资金资产管理和监督。深化东西部协作和对口支援、定点帮扶、社会力量参与等帮扶工作，完善产业合作、劳务协作、人才交流等协作机制。集中支持一批乡村振兴重点帮扶县。</w:t>
      </w:r>
    </w:p>
    <w:p w14:paraId="480CA4F7">
      <w:pPr>
        <w:keepNext w:val="0"/>
        <w:keepLines w:val="0"/>
        <w:pageBreakBefore w:val="0"/>
        <w:widowControl w:val="0"/>
        <w:kinsoku/>
        <w:wordWrap/>
        <w:overflowPunct/>
        <w:topLinePunct w:val="0"/>
        <w:autoSpaceDE/>
        <w:autoSpaceDN/>
        <w:bidi w:val="0"/>
        <w:adjustRightInd/>
        <w:snapToGrid/>
        <w:ind w:firstLine="640"/>
        <w:textAlignment w:val="auto"/>
        <w:outlineLvl w:val="1"/>
        <w:rPr>
          <w:sz w:val="28"/>
          <w:szCs w:val="28"/>
        </w:rPr>
      </w:pPr>
      <w:r>
        <w:rPr>
          <w:rFonts w:hint="eastAsia"/>
          <w:sz w:val="28"/>
          <w:szCs w:val="28"/>
        </w:rPr>
        <w:t>（2）</w:t>
      </w:r>
      <w:r>
        <w:rPr>
          <w:rFonts w:hint="eastAsia"/>
          <w:sz w:val="28"/>
          <w:szCs w:val="28"/>
          <w:lang w:val="en-US" w:eastAsia="zh-CN"/>
        </w:rPr>
        <w:t>内江市</w:t>
      </w:r>
      <w:r>
        <w:rPr>
          <w:rFonts w:hint="eastAsia"/>
          <w:sz w:val="28"/>
          <w:szCs w:val="28"/>
        </w:rPr>
        <w:t>行业规划</w:t>
      </w:r>
    </w:p>
    <w:p w14:paraId="09198FCC">
      <w:pPr>
        <w:ind w:left="0" w:leftChars="0" w:firstLine="560" w:firstLineChars="200"/>
        <w:rPr>
          <w:rFonts w:hint="eastAsia" w:ascii="仿宋" w:hAnsi="仿宋" w:cs="仿宋"/>
          <w:sz w:val="28"/>
          <w:szCs w:val="28"/>
          <w:lang w:val="en-US" w:eastAsia="zh-CN"/>
        </w:rPr>
      </w:pPr>
      <w:r>
        <w:rPr>
          <w:rFonts w:hint="eastAsia" w:ascii="仿宋" w:hAnsi="仿宋" w:cs="仿宋"/>
          <w:sz w:val="28"/>
          <w:szCs w:val="28"/>
          <w:lang w:val="en-US" w:eastAsia="zh-CN"/>
        </w:rPr>
        <w:t>项目建设符合《内江市国民经济和社会发展第十四个五年规划和二〇三五年远景目标纲要》</w:t>
      </w:r>
    </w:p>
    <w:p w14:paraId="084BE91C">
      <w:pPr>
        <w:ind w:left="0" w:leftChars="0" w:firstLine="560" w:firstLineChars="200"/>
        <w:rPr>
          <w:rFonts w:hint="eastAsia" w:ascii="仿宋" w:hAnsi="仿宋" w:cs="仿宋"/>
          <w:sz w:val="28"/>
          <w:szCs w:val="28"/>
          <w:lang w:val="en-US" w:eastAsia="zh-CN"/>
        </w:rPr>
      </w:pPr>
      <w:r>
        <w:rPr>
          <w:rFonts w:hint="eastAsia" w:ascii="仿宋" w:hAnsi="仿宋" w:cs="仿宋"/>
          <w:sz w:val="28"/>
          <w:szCs w:val="28"/>
          <w:lang w:val="en-US" w:eastAsia="zh-CN"/>
        </w:rPr>
        <w:t>加快数字农业建设步伐。加大数字农业建设力度，整合涉农数据资源，加大农业数字化转型投入，发展数字田园、智慧养殖、智能农机，鼓励农业产业化龙头企业引进先进信息化技术和设备，再造农业生产管理流程，提高产品标准化水平和生产效率。开展农业物联网应用示范县和农业物联网应用示范基地建设，全面推进村级益农信息社建设，加强智慧农业技术与装备研发，建设基于卫星遥感、航空无人机、田间观测一体化的农业遥感应用体系。依托国家畜牧科技城建设，发挥稻渔、水禽等行业数据资源优势，与荣昌共建现代农业大数据中心。</w:t>
      </w:r>
    </w:p>
    <w:p w14:paraId="473559C4">
      <w:pPr>
        <w:ind w:left="0" w:leftChars="0" w:firstLine="560" w:firstLineChars="200"/>
        <w:rPr>
          <w:rFonts w:hint="eastAsia" w:ascii="仿宋" w:hAnsi="仿宋" w:cs="仿宋"/>
          <w:sz w:val="28"/>
          <w:szCs w:val="28"/>
          <w:lang w:val="en-US" w:eastAsia="zh-CN"/>
        </w:rPr>
      </w:pPr>
      <w:r>
        <w:rPr>
          <w:rFonts w:hint="eastAsia" w:ascii="仿宋" w:hAnsi="仿宋" w:cs="仿宋"/>
          <w:sz w:val="28"/>
          <w:szCs w:val="28"/>
          <w:lang w:val="en-US" w:eastAsia="zh-CN"/>
        </w:rPr>
        <w:t>“三农”优先，全面推进乡村振兴发展，围绕建设成渝绿色优质农产品生产基地目标，以丘陵地区生态农牧业为主攻方向，加快建设现代农业承载平台，推动四大特色产业成链集约发展，做强成渝现代高效特色农业带支撑。全面推进乡村产业振兴、人才振兴、文化振兴、生态振兴、组织振兴，实现农业高质高效、乡村宜居宜业、农民富裕富足目标。优化现代农业生产布局，用好全市“国字号”农业园区招牌，建设现代农业高新技术产业发展示范区（隆昌市、资中县）、现代精品农业发展示范区（威远县）、都市农业发展示范区（市中区、东兴区），</w:t>
      </w:r>
    </w:p>
    <w:p w14:paraId="2575DD2A">
      <w:pPr>
        <w:ind w:left="0" w:leftChars="0" w:firstLine="560" w:firstLineChars="200"/>
        <w:rPr>
          <w:rFonts w:hint="eastAsia" w:ascii="仿宋" w:hAnsi="仿宋" w:cs="仿宋"/>
          <w:sz w:val="28"/>
          <w:szCs w:val="28"/>
          <w:lang w:val="en-US" w:eastAsia="zh-CN"/>
        </w:rPr>
      </w:pPr>
      <w:r>
        <w:rPr>
          <w:rFonts w:hint="eastAsia" w:ascii="仿宋" w:hAnsi="仿宋" w:cs="仿宋"/>
          <w:sz w:val="28"/>
          <w:szCs w:val="28"/>
          <w:lang w:val="en-US" w:eastAsia="zh-CN"/>
        </w:rPr>
        <w:t>重点培育优质粮油产业发展带、优质生猪产业发展带、长江上游柑橘产业发展带、道地中药材产业发展带、成渝沿线时令蔬菜产业发展带、稻渔综合种养产业发展带等6条产业带，到2025年，全市培育4个比较优势突出的全产业链产业，争创1个以上国家级现代农业园区，争创1个国家农村产业融合发展示范园，培育5个以上省级现代农业园区，有序建设一批市县级现代农业园区。</w:t>
      </w:r>
    </w:p>
    <w:p w14:paraId="5F247BD7">
      <w:pPr>
        <w:ind w:left="0" w:leftChars="0" w:firstLine="560" w:firstLineChars="200"/>
        <w:rPr>
          <w:rFonts w:hint="eastAsia" w:ascii="仿宋" w:hAnsi="仿宋" w:cs="仿宋"/>
          <w:sz w:val="28"/>
          <w:szCs w:val="28"/>
          <w:lang w:val="en-US" w:eastAsia="zh-CN"/>
        </w:rPr>
      </w:pPr>
      <w:r>
        <w:rPr>
          <w:rFonts w:hint="eastAsia" w:ascii="仿宋" w:hAnsi="仿宋" w:cs="仿宋"/>
          <w:sz w:val="28"/>
          <w:szCs w:val="28"/>
          <w:lang w:val="en-US" w:eastAsia="zh-CN"/>
        </w:rPr>
        <w:t>建立完善优质农产品产供销服务体系，做好农业气象防灾减灾预警监测，做好特色农产品气象服务。健全动植物病虫害监测体系，加强基层畜牧兽医体系建设。</w:t>
      </w:r>
    </w:p>
    <w:p w14:paraId="20BF5047">
      <w:pPr>
        <w:ind w:left="0" w:leftChars="0" w:firstLine="560" w:firstLineChars="200"/>
        <w:rPr>
          <w:rFonts w:hint="eastAsia" w:ascii="仿宋" w:hAnsi="仿宋" w:cs="仿宋"/>
          <w:sz w:val="28"/>
          <w:szCs w:val="28"/>
          <w:lang w:val="en-US" w:eastAsia="zh-CN"/>
        </w:rPr>
      </w:pPr>
      <w:r>
        <w:rPr>
          <w:rFonts w:hint="eastAsia" w:ascii="仿宋" w:hAnsi="仿宋" w:cs="仿宋"/>
          <w:sz w:val="28"/>
          <w:szCs w:val="28"/>
          <w:lang w:val="en-US" w:eastAsia="zh-CN"/>
        </w:rPr>
        <w:t>建设一批生物育种、动物疫病、作物高光效、农业资源遥感监测等重点实验室。着力培育现代农业种业、现代农业装备、烘干及冷链物流等支撑性产业。支持农民合作社、供销合作社、专业服务组织等开展农业产前、产中、产后全程服务。提高农技推广服务活动标准化、规范化水平。抓好“甜城味”品牌建设，建立农产品质量溯源机制，实现“甜城味”品牌双向溯源。</w:t>
      </w:r>
    </w:p>
    <w:p w14:paraId="361507F1">
      <w:pPr>
        <w:ind w:left="0" w:leftChars="0" w:firstLine="560" w:firstLineChars="200"/>
        <w:rPr>
          <w:rFonts w:hint="eastAsia" w:ascii="仿宋" w:hAnsi="仿宋" w:cs="仿宋"/>
          <w:sz w:val="28"/>
          <w:szCs w:val="28"/>
          <w:lang w:val="en-US" w:eastAsia="zh-CN"/>
        </w:rPr>
      </w:pPr>
      <w:r>
        <w:rPr>
          <w:rFonts w:hint="eastAsia" w:ascii="仿宋" w:hAnsi="仿宋" w:cs="仿宋"/>
          <w:sz w:val="28"/>
          <w:szCs w:val="28"/>
          <w:lang w:val="en-US" w:eastAsia="zh-CN"/>
        </w:rPr>
        <w:t>借力“全国农产品交易会”“川渝特色农产品交易会”“万企出国门”等平台，形成配送灵活、四季销售、保鲜供应、长期稳定的外销网络。到2025年，制定修订农业地方标准10个，申报国家地理标志农产品保护标识2个以上，涉农中国驰名商标1个以上，四川名牌产品20个以上。</w:t>
      </w:r>
    </w:p>
    <w:p w14:paraId="3195EE2E">
      <w:pPr>
        <w:ind w:left="0" w:leftChars="0" w:firstLine="560" w:firstLineChars="200"/>
        <w:rPr>
          <w:rFonts w:hint="eastAsia" w:ascii="仿宋" w:hAnsi="仿宋" w:cs="仿宋"/>
          <w:sz w:val="28"/>
          <w:szCs w:val="28"/>
        </w:rPr>
      </w:pPr>
      <w:r>
        <w:rPr>
          <w:rFonts w:hint="eastAsia" w:ascii="仿宋" w:hAnsi="仿宋" w:cs="仿宋"/>
          <w:sz w:val="28"/>
          <w:szCs w:val="28"/>
          <w:lang w:val="en-US" w:eastAsia="zh-CN"/>
        </w:rPr>
        <w:t>《内江市域城镇体系规划和内江市城市总体规划（2014—2030）》表明：把握建设“成渝经济区绿色优质农产品基地”的契机，全力稳定粮食生产，加快推进农业产业化经营，加强农业生产设施建设，完善农业科技创新条件。全面发展高产、优质、高效、生态、安全的现代农业，重点发展优质粮油、蔬菜、水果、茶叶、中药材、蚕桑等六大优势产业，结合特色产业基地、农业科技园区、现代农业示范园区建设，大力发展休闲观光农业。</w:t>
      </w:r>
    </w:p>
    <w:p w14:paraId="5C51CFB9">
      <w:pPr>
        <w:keepNext w:val="0"/>
        <w:keepLines w:val="0"/>
        <w:pageBreakBefore w:val="0"/>
        <w:widowControl w:val="0"/>
        <w:kinsoku/>
        <w:wordWrap/>
        <w:overflowPunct/>
        <w:topLinePunct w:val="0"/>
        <w:autoSpaceDE/>
        <w:autoSpaceDN/>
        <w:bidi w:val="0"/>
        <w:adjustRightInd/>
        <w:snapToGrid/>
        <w:ind w:firstLine="640"/>
        <w:textAlignment w:val="auto"/>
        <w:outlineLvl w:val="1"/>
        <w:rPr>
          <w:sz w:val="28"/>
          <w:szCs w:val="28"/>
        </w:rPr>
      </w:pPr>
      <w:r>
        <w:rPr>
          <w:rFonts w:hint="eastAsia"/>
          <w:sz w:val="28"/>
          <w:szCs w:val="28"/>
        </w:rPr>
        <w:t>（3）</w:t>
      </w:r>
      <w:r>
        <w:rPr>
          <w:rFonts w:hint="eastAsia"/>
          <w:sz w:val="28"/>
          <w:szCs w:val="28"/>
          <w:lang w:val="en-US" w:eastAsia="zh-CN"/>
        </w:rPr>
        <w:t>东兴区</w:t>
      </w:r>
      <w:r>
        <w:rPr>
          <w:rFonts w:hint="eastAsia"/>
          <w:sz w:val="28"/>
          <w:szCs w:val="28"/>
        </w:rPr>
        <w:t>行业规划</w:t>
      </w:r>
    </w:p>
    <w:p w14:paraId="7BA519BD">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cs="仿宋"/>
          <w:sz w:val="28"/>
          <w:szCs w:val="28"/>
          <w:lang w:val="en-US" w:eastAsia="zh-CN"/>
        </w:rPr>
      </w:pPr>
      <w:r>
        <w:rPr>
          <w:rFonts w:hint="eastAsia" w:ascii="仿宋" w:hAnsi="仿宋" w:cs="仿宋"/>
          <w:sz w:val="28"/>
          <w:szCs w:val="28"/>
          <w:lang w:val="en-US" w:eastAsia="zh-CN"/>
        </w:rPr>
        <w:t>项目建设符合《内江市东兴区国民经济和社会发展第十四个五年规划和二〇三五年远景目标纲要》明确提出加快建设田园城市。</w:t>
      </w:r>
    </w:p>
    <w:p w14:paraId="55F609B6">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cs="仿宋"/>
          <w:sz w:val="28"/>
          <w:szCs w:val="28"/>
          <w:lang w:val="en-US" w:eastAsia="zh-CN"/>
        </w:rPr>
      </w:pPr>
      <w:r>
        <w:rPr>
          <w:rFonts w:hint="eastAsia" w:ascii="仿宋" w:hAnsi="仿宋" w:cs="仿宋"/>
          <w:sz w:val="28"/>
          <w:szCs w:val="28"/>
          <w:lang w:val="en-US" w:eastAsia="zh-CN"/>
        </w:rPr>
        <w:t>大力发展都市农业，优化城郊农业发展模式，强化产业深度融合发展，以田家镇农文旅融合示范区核心，以双桥镇蚕桑现代农业示范园区、双才镇种养循环产业园区、永兴和郭北镇优质柑橘产业示范园区为依托，围绕现有农业发展基础，建设可以留存内江市休闲、度假、康养消费力的特色农业发展区，完善相关基础设施建设，打造城郊具有观赏、采摘、体验、休闲等多功能的农产品种植园和农业产业园。</w:t>
      </w:r>
    </w:p>
    <w:p w14:paraId="06B5663E">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cs="仿宋"/>
          <w:sz w:val="28"/>
          <w:szCs w:val="28"/>
          <w:lang w:val="en-US" w:eastAsia="zh-CN"/>
        </w:rPr>
      </w:pPr>
      <w:r>
        <w:rPr>
          <w:rFonts w:hint="eastAsia" w:ascii="仿宋" w:hAnsi="仿宋" w:cs="仿宋"/>
          <w:sz w:val="28"/>
          <w:szCs w:val="28"/>
          <w:lang w:val="en-US" w:eastAsia="zh-CN"/>
        </w:rPr>
        <w:t>强化产业合作。围绕东兴“一核两翼三轴一廊两区”空间布局和产业总体发展格局，推动产业基础高级化、产业链现代化、产业集群集约化发展。围绕打造“中国天冬之乡”，加大特色农业合作和中医药产业合作，打造“东兴-荣昌-大足中医药产业川渝合作试验区”。围绕打造循环渔业示范园，加强水产养殖业合作，建设国家级农业园区。围绕绿色循环产业和“四新一大”产业和“5+2”现代服务业，招强引大，构建具有核心竞争力的现代产业体系，瞄准成渝主轴中部毗邻地区配套服务、错位发展、重点突破，打造成渝主轴毗邻地区开放桥头堡。</w:t>
      </w:r>
    </w:p>
    <w:p w14:paraId="5C15DABF">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eastAsia="仿宋"/>
          <w:sz w:val="28"/>
          <w:szCs w:val="28"/>
          <w:lang w:eastAsia="zh-CN"/>
        </w:rPr>
      </w:pPr>
      <w:r>
        <w:rPr>
          <w:rFonts w:hint="eastAsia" w:ascii="仿宋" w:hAnsi="仿宋" w:cs="仿宋"/>
          <w:sz w:val="28"/>
          <w:szCs w:val="28"/>
          <w:lang w:val="en-US" w:eastAsia="zh-CN"/>
        </w:rPr>
        <w:t>规划建设田家长江现代农业园区产业发展环线道路，加速东兴区长江农业现代园区联网道路建设，高质量完成椑木镇环沱江河旅游通道建设，推动长江农业现代园、椑木新城规模化发展；推进东兴区双桥、白合、顺河片区农旅融合联网道路建设，形成“交通+旅游+产业”发展模式；加快启动椑水路、内遂高速安岳文峰至高梁镇等干线公路连接线动工建设，实现区内高速公路、跨河大桥等重要枢纽无缝衔接；加快启动“龙门阵”航运枢纽工程、沱江河航道养护、客运码头标准化改造等项目，同步启动安全交通保障工作，尽快完成水心坝渡口取缔工作，加快道路综合安保工程前期工作，逐步完善农村公路综合安保设施，逐渐减少直至消除影响道路通行安全的危险桥梁。</w:t>
      </w:r>
    </w:p>
    <w:p w14:paraId="2DA072CA">
      <w:pPr>
        <w:ind w:firstLine="643"/>
        <w:outlineLvl w:val="1"/>
        <w:rPr>
          <w:rFonts w:cs="仿宋"/>
          <w:b/>
          <w:sz w:val="28"/>
          <w:szCs w:val="28"/>
        </w:rPr>
      </w:pPr>
      <w:r>
        <w:rPr>
          <w:rFonts w:hint="eastAsia" w:cs="仿宋"/>
          <w:b/>
          <w:sz w:val="28"/>
          <w:szCs w:val="28"/>
        </w:rPr>
        <w:t>（二）项目情况</w:t>
      </w:r>
    </w:p>
    <w:p w14:paraId="2BC6427D">
      <w:pPr>
        <w:ind w:firstLine="643"/>
        <w:outlineLvl w:val="2"/>
        <w:rPr>
          <w:rFonts w:cs="仿宋"/>
          <w:b/>
          <w:sz w:val="28"/>
          <w:szCs w:val="28"/>
        </w:rPr>
      </w:pPr>
      <w:r>
        <w:rPr>
          <w:rFonts w:hint="eastAsia" w:cs="仿宋"/>
          <w:b/>
          <w:sz w:val="28"/>
          <w:szCs w:val="28"/>
        </w:rPr>
        <w:t>1．参与主体</w:t>
      </w:r>
    </w:p>
    <w:p w14:paraId="7C4202BB">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cs="仿宋"/>
          <w:color w:val="auto"/>
          <w:sz w:val="28"/>
          <w:szCs w:val="28"/>
          <w:lang w:eastAsia="zh-CN"/>
        </w:rPr>
      </w:pPr>
      <w:r>
        <w:rPr>
          <w:rFonts w:hint="eastAsia" w:cs="仿宋"/>
          <w:sz w:val="28"/>
          <w:szCs w:val="28"/>
          <w:lang w:val="zh-CN"/>
        </w:rPr>
        <w:t>（</w:t>
      </w:r>
      <w:r>
        <w:rPr>
          <w:rFonts w:hint="eastAsia" w:cs="仿宋"/>
          <w:sz w:val="28"/>
          <w:szCs w:val="28"/>
          <w:lang w:val="en-US" w:eastAsia="zh-CN"/>
        </w:rPr>
        <w:t>1</w:t>
      </w:r>
      <w:r>
        <w:rPr>
          <w:rFonts w:hint="eastAsia" w:cs="仿宋"/>
          <w:sz w:val="28"/>
          <w:szCs w:val="28"/>
          <w:lang w:val="zh-CN"/>
        </w:rPr>
        <w:t>）行业主管部门：</w:t>
      </w:r>
      <w:r>
        <w:rPr>
          <w:rFonts w:hint="eastAsia" w:cs="仿宋"/>
          <w:color w:val="auto"/>
          <w:sz w:val="28"/>
          <w:szCs w:val="28"/>
          <w:lang w:eastAsia="zh-CN"/>
        </w:rPr>
        <w:t>内江市东兴区农业农村局</w:t>
      </w:r>
    </w:p>
    <w:p w14:paraId="0CEC4971">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eastAsia="仿宋" w:cs="仿宋"/>
          <w:sz w:val="28"/>
          <w:szCs w:val="28"/>
          <w:lang w:val="zh-CN" w:eastAsia="zh-CN"/>
        </w:rPr>
      </w:pPr>
      <w:r>
        <w:rPr>
          <w:rFonts w:hint="eastAsia" w:cs="仿宋"/>
          <w:color w:val="auto"/>
          <w:sz w:val="28"/>
          <w:szCs w:val="28"/>
          <w:lang w:eastAsia="zh-CN"/>
        </w:rPr>
        <w:t>统一社会信用代码：11510902MB1766331B</w:t>
      </w:r>
    </w:p>
    <w:p w14:paraId="7012301D">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cs="仿宋"/>
          <w:color w:val="auto"/>
          <w:sz w:val="28"/>
          <w:szCs w:val="28"/>
          <w:lang w:eastAsia="zh-CN"/>
        </w:rPr>
      </w:pPr>
      <w:r>
        <w:rPr>
          <w:rFonts w:hint="eastAsia" w:cs="仿宋"/>
          <w:sz w:val="28"/>
          <w:szCs w:val="28"/>
          <w:lang w:val="zh-CN"/>
        </w:rPr>
        <w:t>（</w:t>
      </w:r>
      <w:r>
        <w:rPr>
          <w:rFonts w:hint="eastAsia" w:cs="仿宋"/>
          <w:sz w:val="28"/>
          <w:szCs w:val="28"/>
          <w:lang w:val="en-US" w:eastAsia="zh-CN"/>
        </w:rPr>
        <w:t>2</w:t>
      </w:r>
      <w:r>
        <w:rPr>
          <w:rFonts w:hint="eastAsia" w:cs="仿宋"/>
          <w:sz w:val="28"/>
          <w:szCs w:val="28"/>
          <w:lang w:val="zh-CN"/>
        </w:rPr>
        <w:t>）项目单位：</w:t>
      </w:r>
      <w:r>
        <w:rPr>
          <w:rFonts w:hint="eastAsia" w:cs="仿宋"/>
          <w:color w:val="auto"/>
          <w:sz w:val="28"/>
          <w:szCs w:val="28"/>
          <w:lang w:eastAsia="zh-CN"/>
        </w:rPr>
        <w:t>内江人和国有资产经营有限责任公司</w:t>
      </w:r>
    </w:p>
    <w:p w14:paraId="3E18C17B">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cs="仿宋"/>
          <w:color w:val="auto"/>
          <w:sz w:val="28"/>
          <w:szCs w:val="28"/>
          <w:lang w:eastAsia="zh-CN"/>
        </w:rPr>
      </w:pPr>
      <w:r>
        <w:rPr>
          <w:rFonts w:hint="eastAsia" w:cs="仿宋"/>
          <w:color w:val="auto"/>
          <w:sz w:val="28"/>
          <w:szCs w:val="28"/>
          <w:lang w:eastAsia="zh-CN"/>
        </w:rPr>
        <w:t>统一社会信用代码：91511000782298226N</w:t>
      </w:r>
    </w:p>
    <w:p w14:paraId="15E64D7F">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cs="仿宋"/>
          <w:color w:val="auto"/>
          <w:sz w:val="28"/>
          <w:szCs w:val="28"/>
          <w:lang w:eastAsia="zh-CN"/>
        </w:rPr>
      </w:pPr>
      <w:r>
        <w:rPr>
          <w:rFonts w:hint="eastAsia" w:cs="仿宋"/>
          <w:color w:val="auto"/>
          <w:sz w:val="28"/>
          <w:szCs w:val="28"/>
          <w:lang w:eastAsia="zh-CN"/>
        </w:rPr>
        <w:t>企业类型：其他有限责任公司</w:t>
      </w:r>
    </w:p>
    <w:p w14:paraId="5B2DE1D1">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eastAsia="仿宋" w:cs="仿宋"/>
          <w:sz w:val="28"/>
          <w:szCs w:val="28"/>
          <w:lang w:val="zh-CN" w:eastAsia="zh-CN"/>
        </w:rPr>
      </w:pPr>
      <w:r>
        <w:rPr>
          <w:rFonts w:hint="eastAsia" w:cs="仿宋"/>
          <w:color w:val="auto"/>
          <w:sz w:val="28"/>
          <w:szCs w:val="28"/>
          <w:lang w:eastAsia="zh-CN"/>
        </w:rPr>
        <w:t>经营范围：一般项目：自有资金投资的资产管理服务；工程管理服务；物业管理；土地整治服务；住房租赁；非居住房地产租赁；建筑工程机械与设备租赁；机械设备租赁；集贸市场管理服务；企业管理咨询；企业管理；砼结构构件销售；水泥制品销售；广告设计、代理；广告制作；建筑用石加工；建筑材料销售；租赁服务（不含许可类租赁服务）。（除依法须经批准的项目外，凭营业执照依法自主开展经营活动）许可项目：建设工程施工；消毒器械销售。（依法须经批准的项目，经相关部门批准后方可开展经营活动，具体经营项目以相关部门批准文件或许可证件为准）</w:t>
      </w:r>
    </w:p>
    <w:p w14:paraId="0E37F9B2">
      <w:pPr>
        <w:ind w:firstLine="643"/>
        <w:outlineLvl w:val="2"/>
        <w:rPr>
          <w:rFonts w:cs="仿宋"/>
          <w:b/>
          <w:sz w:val="28"/>
          <w:szCs w:val="28"/>
        </w:rPr>
      </w:pPr>
      <w:r>
        <w:rPr>
          <w:rFonts w:hint="eastAsia" w:cs="仿宋"/>
          <w:b/>
          <w:sz w:val="28"/>
          <w:szCs w:val="28"/>
        </w:rPr>
        <w:t>2．项目概况</w:t>
      </w:r>
    </w:p>
    <w:p w14:paraId="17F6CCA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宋体" w:hAnsi="宋体" w:cs="宋体"/>
          <w:sz w:val="28"/>
          <w:szCs w:val="28"/>
        </w:rPr>
      </w:pPr>
      <w:r>
        <w:rPr>
          <w:rFonts w:hint="eastAsia" w:cs="仿宋"/>
          <w:sz w:val="28"/>
          <w:szCs w:val="28"/>
          <w:lang w:val="zh-CN"/>
        </w:rPr>
        <w:t>（１）项目所属领域：</w:t>
      </w:r>
      <w:r>
        <w:rPr>
          <w:rFonts w:hint="eastAsia"/>
          <w:b w:val="0"/>
          <w:bCs w:val="0"/>
          <w:sz w:val="28"/>
          <w:szCs w:val="28"/>
          <w:lang w:val="en" w:eastAsia="zh-CN"/>
        </w:rPr>
        <w:t>项目属于农林水利和气象-农业建设项目，属于有一定收益的公益性项目。</w:t>
      </w:r>
    </w:p>
    <w:p w14:paraId="385C5A0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eastAsia="zh-CN"/>
        </w:rPr>
      </w:pPr>
      <w:r>
        <w:rPr>
          <w:rFonts w:hint="eastAsia" w:cs="仿宋"/>
          <w:sz w:val="28"/>
          <w:szCs w:val="28"/>
          <w:lang w:val="zh-CN"/>
        </w:rPr>
        <w:t>（２）建设地点：</w:t>
      </w:r>
      <w:r>
        <w:rPr>
          <w:rFonts w:hint="eastAsia" w:ascii="仿宋" w:hAnsi="仿宋" w:eastAsia="仿宋" w:cs="仿宋"/>
          <w:spacing w:val="-5"/>
          <w:sz w:val="28"/>
          <w:szCs w:val="28"/>
          <w:lang w:eastAsia="zh-CN"/>
        </w:rPr>
        <w:t>内江市东兴区田家镇、百合镇、双桥镇、高梁镇、顺河镇。</w:t>
      </w:r>
    </w:p>
    <w:p w14:paraId="7600CDB5">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cs="仿宋"/>
          <w:sz w:val="28"/>
          <w:szCs w:val="28"/>
          <w:lang w:val="zh-CN"/>
        </w:rPr>
      </w:pPr>
      <w:r>
        <w:rPr>
          <w:rFonts w:hint="eastAsia" w:cs="仿宋"/>
          <w:sz w:val="28"/>
          <w:szCs w:val="28"/>
          <w:lang w:val="zh-CN"/>
        </w:rPr>
        <w:t>（３）建设内容和规模：</w:t>
      </w:r>
    </w:p>
    <w:p w14:paraId="1E04973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园区总规划面积120000亩，其中粮油种植示范基地实施土地宜机化改造25000亩；扩建园区内部连接道路10km；修建农业灌溉渠100km；提灌站20座及附属管网、整治30座石河堰、山坪塘70口；建设农业科技育苗基地（10亩智能大棚和200亩规范化标准化育秧田）；农产品分拣初加工中心15000㎡，农产品冷链仓储中心6000㎡，畜禽粪污综合利用加工中心8666㎡；并完善园区温室智能控制器，水肥一体化系统等配套基础设施建设。</w:t>
      </w:r>
    </w:p>
    <w:p w14:paraId="17931DF4">
      <w:pPr>
        <w:ind w:firstLine="643"/>
        <w:outlineLvl w:val="2"/>
        <w:rPr>
          <w:rFonts w:hint="eastAsia" w:cs="仿宋"/>
          <w:b/>
          <w:sz w:val="28"/>
          <w:szCs w:val="28"/>
        </w:rPr>
      </w:pPr>
      <w:r>
        <w:rPr>
          <w:rFonts w:hint="eastAsia" w:cs="仿宋"/>
          <w:b/>
          <w:sz w:val="28"/>
          <w:szCs w:val="28"/>
          <w:lang w:val="en-US" w:eastAsia="zh-CN"/>
        </w:rPr>
        <w:t>3.</w:t>
      </w:r>
      <w:r>
        <w:rPr>
          <w:rFonts w:hint="eastAsia" w:cs="仿宋"/>
          <w:b/>
          <w:sz w:val="28"/>
          <w:szCs w:val="28"/>
        </w:rPr>
        <w:t>经济社会效益分析</w:t>
      </w:r>
    </w:p>
    <w:p w14:paraId="025030CA">
      <w:pPr>
        <w:ind w:firstLine="643"/>
        <w:rPr>
          <w:rFonts w:cs="仿宋"/>
          <w:b/>
          <w:bCs/>
          <w:sz w:val="28"/>
          <w:szCs w:val="28"/>
        </w:rPr>
      </w:pPr>
      <w:bookmarkStart w:id="0" w:name="_Toc23695"/>
      <w:bookmarkStart w:id="1" w:name="_Toc7158"/>
      <w:r>
        <w:rPr>
          <w:rFonts w:hint="eastAsia" w:cs="仿宋"/>
          <w:b/>
          <w:bCs/>
          <w:sz w:val="28"/>
          <w:szCs w:val="28"/>
        </w:rPr>
        <w:t>（一）经济效益分析</w:t>
      </w:r>
      <w:bookmarkEnd w:id="0"/>
      <w:bookmarkEnd w:id="1"/>
    </w:p>
    <w:p w14:paraId="3E354ABD">
      <w:pPr>
        <w:ind w:firstLine="640"/>
        <w:rPr>
          <w:rFonts w:hint="eastAsia"/>
          <w:sz w:val="28"/>
          <w:szCs w:val="28"/>
        </w:rPr>
      </w:pPr>
      <w:bookmarkStart w:id="2" w:name="_Toc13056"/>
      <w:bookmarkStart w:id="3" w:name="_Toc11009"/>
      <w:bookmarkStart w:id="4" w:name="_Toc1918"/>
      <w:bookmarkStart w:id="5" w:name="OLE_LINK9"/>
      <w:bookmarkStart w:id="6" w:name="_Toc32508"/>
      <w:bookmarkStart w:id="7" w:name="_Toc25460"/>
      <w:r>
        <w:rPr>
          <w:rFonts w:hint="eastAsia"/>
          <w:sz w:val="28"/>
          <w:szCs w:val="28"/>
        </w:rPr>
        <w:t>1．本项目经济效益良好</w:t>
      </w:r>
      <w:r>
        <w:rPr>
          <w:rFonts w:hint="eastAsia"/>
          <w:sz w:val="28"/>
          <w:szCs w:val="28"/>
          <w:lang w:eastAsia="zh-CN"/>
        </w:rPr>
        <w:t>，</w:t>
      </w:r>
      <w:r>
        <w:rPr>
          <w:rFonts w:hint="eastAsia"/>
          <w:sz w:val="28"/>
          <w:szCs w:val="28"/>
        </w:rPr>
        <w:t>通过项目财务分析计算，项目的各项财务经济指标均达到或好于行业的基准指标。项目能实现融资自求平衡，项目收益较好。</w:t>
      </w:r>
    </w:p>
    <w:p w14:paraId="1491D124">
      <w:pPr>
        <w:ind w:firstLine="640"/>
        <w:rPr>
          <w:rFonts w:hint="eastAsia"/>
          <w:sz w:val="28"/>
          <w:szCs w:val="28"/>
        </w:rPr>
      </w:pPr>
      <w:r>
        <w:rPr>
          <w:rFonts w:hint="eastAsia"/>
          <w:sz w:val="28"/>
          <w:szCs w:val="28"/>
        </w:rPr>
        <w:t>2．随着诸多产业的逐渐兴起和发展，将为社会就业提供更多的机会，发挥更大的经济和社会效益。扩大就业，为部分下岗职工脱贫致富创造条件。沿线对基础设施的需求将不断上升，为满足这些社会需求，促进社会综合事业，如通讯、文教卫生事业得到迅速发展。可安排本地区剩余劳动力同时种植项目提供劳动收入，确保了下岗职工、农村困难户富余劳动力的就业和增加收入，为本地区扶贫工作创造了有利条件。</w:t>
      </w:r>
    </w:p>
    <w:p w14:paraId="575B58DA">
      <w:pPr>
        <w:ind w:firstLine="640"/>
        <w:rPr>
          <w:rFonts w:hint="eastAsia"/>
          <w:sz w:val="28"/>
          <w:szCs w:val="28"/>
        </w:rPr>
      </w:pPr>
      <w:r>
        <w:rPr>
          <w:rFonts w:hint="eastAsia"/>
          <w:sz w:val="28"/>
          <w:szCs w:val="28"/>
        </w:rPr>
        <w:t>项目建成后，将优化当地的空间布局，为当地产业升级提供了基础条件，促进园区循环经济产业链条不断发展、延伸。有利于实现产业的聚集和资源优化配置，产生规模效应，获得规模效益，降低生产成本，形成产业上下游发展链条，提高本地企业的市场竞争力。</w:t>
      </w:r>
    </w:p>
    <w:p w14:paraId="12CA9D49">
      <w:pPr>
        <w:ind w:firstLine="640"/>
        <w:rPr>
          <w:rFonts w:hint="eastAsia"/>
          <w:sz w:val="28"/>
          <w:szCs w:val="28"/>
        </w:rPr>
      </w:pPr>
      <w:r>
        <w:rPr>
          <w:rFonts w:hint="eastAsia"/>
          <w:sz w:val="28"/>
          <w:szCs w:val="28"/>
        </w:rPr>
        <w:t>3．为周边经济发展提供了基础保障</w:t>
      </w:r>
    </w:p>
    <w:p w14:paraId="15A7CAF4">
      <w:pPr>
        <w:ind w:firstLine="640"/>
        <w:rPr>
          <w:rFonts w:hint="eastAsia"/>
          <w:sz w:val="28"/>
          <w:szCs w:val="28"/>
        </w:rPr>
      </w:pPr>
      <w:r>
        <w:rPr>
          <w:rFonts w:hint="eastAsia"/>
          <w:sz w:val="28"/>
          <w:szCs w:val="28"/>
        </w:rPr>
        <w:t>本项目区农业基础设施得到大幅优化和提升，为产业发展和建设万亩粮经建设奠定了良好基础并实现互利互动，使得项目往生态化、农业现代化方向发展，同时能够有效推动项目区实现农田机械化、规模化、标准化、的“三化”融合。项目的建设一方面提高田间生产能力和生产效率，另一方面改善了乡村旅游环境和旅游基础设施，实现了一三产业的良性互动，具有良好的经济效益。</w:t>
      </w:r>
    </w:p>
    <w:p w14:paraId="63BA4D2A">
      <w:pPr>
        <w:ind w:firstLine="640"/>
        <w:rPr>
          <w:rFonts w:hint="eastAsia"/>
          <w:sz w:val="28"/>
          <w:szCs w:val="28"/>
        </w:rPr>
      </w:pPr>
      <w:r>
        <w:rPr>
          <w:rFonts w:hint="eastAsia"/>
          <w:sz w:val="28"/>
          <w:szCs w:val="28"/>
        </w:rPr>
        <w:t>项目建设通过土地平整、土壤改良，完善田间道路系统和水利工程建设，使项目区达到田网、路网、渠网配套的效果，能够实现高效保土、保水、保肥和田间气候、虫情、肥情、土壤墒情监测的要求，为合理布局各种农作物、调整农业生产结构提供良好的平台和数据支撑。通过建设农田，改良土壤质量，提升农机作业能力，提高耕地生产能力。</w:t>
      </w:r>
    </w:p>
    <w:p w14:paraId="0AF9778A">
      <w:pPr>
        <w:ind w:firstLine="640"/>
        <w:rPr>
          <w:rFonts w:hint="eastAsia"/>
          <w:sz w:val="28"/>
          <w:szCs w:val="28"/>
        </w:rPr>
      </w:pPr>
      <w:r>
        <w:rPr>
          <w:rFonts w:hint="eastAsia"/>
          <w:sz w:val="28"/>
          <w:szCs w:val="28"/>
        </w:rPr>
        <w:t>项目实施所产生的种经济效益包括两个部分，一是由于耕地条件和土壤肥力改善带来单产提高的增产效益，二是由于项目实施后可以调整种养殖结构带来的产业增收。项目实施前，项目区主要种植作物为水稻、小麦、玉米、油菜等传统农业，农产品附加值较低。项目实施后，新增田间道路设施和农机下田坡道，改良土壤酸碱度，辅之以信息化和服务化的建设，项目区农机作业能力大幅提升，农业生产效率得到有效提高。</w:t>
      </w:r>
    </w:p>
    <w:bookmarkEnd w:id="2"/>
    <w:bookmarkEnd w:id="3"/>
    <w:bookmarkEnd w:id="4"/>
    <w:bookmarkEnd w:id="5"/>
    <w:p w14:paraId="706CE69F">
      <w:pPr>
        <w:ind w:firstLine="643"/>
        <w:rPr>
          <w:rFonts w:hint="eastAsia" w:cs="仿宋"/>
          <w:b/>
          <w:bCs/>
          <w:sz w:val="28"/>
          <w:szCs w:val="28"/>
        </w:rPr>
      </w:pPr>
      <w:r>
        <w:rPr>
          <w:rFonts w:hint="eastAsia" w:cs="仿宋"/>
          <w:b/>
          <w:bCs/>
          <w:sz w:val="28"/>
          <w:szCs w:val="28"/>
        </w:rPr>
        <w:t>（二）社会效益分析</w:t>
      </w:r>
      <w:bookmarkEnd w:id="6"/>
      <w:bookmarkEnd w:id="7"/>
    </w:p>
    <w:p w14:paraId="12E72781">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bookmarkStart w:id="8" w:name="_Toc16203"/>
      <w:bookmarkStart w:id="9" w:name="_Toc19769"/>
      <w:bookmarkStart w:id="10" w:name="_Toc13295"/>
      <w:bookmarkStart w:id="11" w:name="_Toc8732"/>
      <w:bookmarkStart w:id="12" w:name="_Toc18989"/>
      <w:bookmarkStart w:id="13" w:name="_Toc3075"/>
      <w:bookmarkStart w:id="14" w:name="_Toc9123"/>
      <w:bookmarkStart w:id="15" w:name="_Toc17546541"/>
      <w:bookmarkStart w:id="16" w:name="_Toc559"/>
      <w:bookmarkStart w:id="17" w:name="_Toc9883"/>
      <w:bookmarkStart w:id="18" w:name="_Toc18528"/>
      <w:bookmarkStart w:id="19" w:name="_Toc291"/>
      <w:bookmarkStart w:id="20" w:name="_Toc13689"/>
      <w:bookmarkStart w:id="21" w:name="_Toc19261"/>
      <w:bookmarkStart w:id="22" w:name="_Toc533440327"/>
      <w:r>
        <w:rPr>
          <w:rFonts w:hint="eastAsia" w:cs="Times New Roman"/>
          <w:sz w:val="28"/>
          <w:szCs w:val="28"/>
          <w:lang w:val="ru-RU"/>
        </w:rPr>
        <w:t>1.改善农民生产生活条件，建设新农村</w:t>
      </w:r>
    </w:p>
    <w:p w14:paraId="5D923EB8">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r>
        <w:rPr>
          <w:rFonts w:hint="eastAsia" w:cs="Times New Roman"/>
          <w:sz w:val="28"/>
          <w:szCs w:val="28"/>
          <w:lang w:val="ru-RU"/>
        </w:rPr>
        <w:t>粮食高产稳产高效综合示范项目建设把基地建设与新农村建设有机结合，围绕群众最关心、最欢迎的农田生产设施和便民设施，群众多年想办而自身又难以办成的事，改善农民生产生活条件，大大促进当地的农业发展、农村经济振兴、农业生态环境和农民物质文化生活水平的提高，加快推进新农村建设步伐。</w:t>
      </w:r>
    </w:p>
    <w:p w14:paraId="657E3D99">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r>
        <w:rPr>
          <w:rFonts w:hint="eastAsia" w:cs="Times New Roman"/>
          <w:sz w:val="28"/>
          <w:szCs w:val="28"/>
          <w:lang w:val="ru-RU"/>
        </w:rPr>
        <w:t>2.增加就业机会</w:t>
      </w:r>
    </w:p>
    <w:p w14:paraId="76AF62FF">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r>
        <w:rPr>
          <w:rFonts w:hint="eastAsia" w:cs="Times New Roman"/>
          <w:sz w:val="28"/>
          <w:szCs w:val="28"/>
          <w:lang w:val="ru-RU" w:eastAsia="zh-CN"/>
        </w:rPr>
        <w:t>内江市东兴区粮油产业融合示范园建设项目</w:t>
      </w:r>
      <w:r>
        <w:rPr>
          <w:rFonts w:hint="eastAsia" w:cs="Times New Roman"/>
          <w:sz w:val="28"/>
          <w:szCs w:val="28"/>
          <w:lang w:val="ru-RU"/>
        </w:rPr>
        <w:t>的建设与投产，可以安置一批富余劳动力，增加就业机会，促进劳动力的转移，产生良好的社会效益。</w:t>
      </w:r>
    </w:p>
    <w:p w14:paraId="5AB55239">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r>
        <w:rPr>
          <w:rFonts w:hint="eastAsia" w:cs="Times New Roman"/>
          <w:sz w:val="28"/>
          <w:szCs w:val="28"/>
          <w:lang w:val="ru-RU"/>
        </w:rPr>
        <w:t>3.改善农田排灌条件，促进农业结构调整</w:t>
      </w:r>
    </w:p>
    <w:p w14:paraId="059B5A3B">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r>
        <w:rPr>
          <w:rFonts w:hint="eastAsia" w:cs="Times New Roman"/>
          <w:sz w:val="28"/>
          <w:szCs w:val="28"/>
          <w:lang w:val="ru-RU"/>
        </w:rPr>
        <w:t>通过项目实施，项目区改善灌溉排水、提升土壤肥力，灌溉水利用率提高到80%，田间渠系配套率达到80%以上，灌溉水利用系数达到0.703，灌溉保证率达到80%，节约水量，项目区农田排灌条件得到明显改善，土壤肥力明显提升，农业抵御自然灾害的能力明显增强，耕地综合生产能力明显提高；有利于促进项目区农业结构调整，增强农产品供给能力，为社会提供更多的优质农产品，并促进优质、高效、无公害、品牌农业发展。</w:t>
      </w:r>
    </w:p>
    <w:p w14:paraId="6A7D6A66">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r>
        <w:rPr>
          <w:rFonts w:hint="eastAsia" w:cs="Times New Roman"/>
          <w:sz w:val="28"/>
          <w:szCs w:val="28"/>
          <w:lang w:val="ru-RU"/>
        </w:rPr>
        <w:t>4.有利于弘扬中华优秀传统文化</w:t>
      </w:r>
    </w:p>
    <w:p w14:paraId="239C053C">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cs="Times New Roman"/>
          <w:sz w:val="28"/>
          <w:szCs w:val="28"/>
          <w:lang w:val="ru-RU"/>
        </w:rPr>
      </w:pPr>
      <w:r>
        <w:rPr>
          <w:rFonts w:hint="eastAsia" w:cs="Times New Roman"/>
          <w:sz w:val="28"/>
          <w:szCs w:val="28"/>
          <w:lang w:val="ru-RU"/>
        </w:rPr>
        <w:t>中国文化本质上是乡土文化，中华文化的根脉在乡村，我们常说乡土、乡景、乡情、乡音、乡邻、乡德等等，构成中国乡土文化，也使其成为中华优秀传统文化的基本内核。实施乡村振兴战略，也就是重构中国乡土文化的重大举措，也就是弘扬中华优秀传统文化的重大战略。</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EDB0526">
      <w:pPr>
        <w:ind w:firstLine="643"/>
        <w:outlineLvl w:val="0"/>
        <w:rPr>
          <w:rFonts w:cs="仿宋"/>
          <w:b/>
          <w:bCs/>
          <w:sz w:val="28"/>
          <w:szCs w:val="28"/>
        </w:rPr>
      </w:pPr>
      <w:r>
        <w:rPr>
          <w:rFonts w:hint="eastAsia" w:cs="仿宋"/>
          <w:b/>
          <w:bCs/>
          <w:sz w:val="28"/>
          <w:szCs w:val="28"/>
        </w:rPr>
        <w:t>三、项目投资估算及资金筹措方案</w:t>
      </w:r>
    </w:p>
    <w:p w14:paraId="5B9C2F54">
      <w:pPr>
        <w:ind w:firstLine="643"/>
        <w:outlineLvl w:val="1"/>
        <w:rPr>
          <w:rFonts w:cs="仿宋"/>
          <w:b/>
          <w:sz w:val="28"/>
          <w:szCs w:val="28"/>
        </w:rPr>
      </w:pPr>
      <w:r>
        <w:rPr>
          <w:rFonts w:hint="eastAsia" w:cs="仿宋"/>
          <w:b/>
          <w:sz w:val="28"/>
          <w:szCs w:val="28"/>
        </w:rPr>
        <w:t>（一）投资估算</w:t>
      </w:r>
    </w:p>
    <w:p w14:paraId="59E33903">
      <w:pPr>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项目投资经估算，本项目总投资</w:t>
      </w:r>
      <w:r>
        <w:rPr>
          <w:rFonts w:hint="eastAsia" w:cs="仿宋"/>
          <w:color w:val="auto"/>
          <w:sz w:val="28"/>
          <w:szCs w:val="28"/>
          <w:highlight w:val="none"/>
          <w:lang w:val="en-US" w:eastAsia="zh-CN"/>
        </w:rPr>
        <w:t>480</w:t>
      </w:r>
      <w:r>
        <w:rPr>
          <w:rFonts w:hint="eastAsia" w:ascii="仿宋" w:hAnsi="仿宋" w:eastAsia="仿宋" w:cs="仿宋"/>
          <w:color w:val="auto"/>
          <w:sz w:val="28"/>
          <w:szCs w:val="28"/>
          <w:highlight w:val="none"/>
        </w:rPr>
        <w:t>00.00万元，其中</w:t>
      </w:r>
    </w:p>
    <w:p w14:paraId="22A6372B">
      <w:pPr>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1）工程建设费用38651.03万元，占总投资的80.52%；</w:t>
      </w:r>
    </w:p>
    <w:p w14:paraId="6CE253BE">
      <w:pPr>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2）工程建设其它费用4631.80万元，占总投资的9.65%；</w:t>
      </w:r>
    </w:p>
    <w:p w14:paraId="053DC8BC">
      <w:pPr>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3）预备费2132.64万元，占总投资的4.44%；</w:t>
      </w:r>
    </w:p>
    <w:p w14:paraId="26D9A2E4">
      <w:pPr>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4）建设期利息及债券发行费用2584.53万元，占总投资的5.38%。</w:t>
      </w:r>
    </w:p>
    <w:p w14:paraId="3B912FB6">
      <w:pPr>
        <w:ind w:firstLine="643"/>
        <w:outlineLvl w:val="1"/>
        <w:rPr>
          <w:rFonts w:cs="仿宋"/>
          <w:b/>
          <w:sz w:val="28"/>
          <w:szCs w:val="28"/>
        </w:rPr>
      </w:pPr>
      <w:r>
        <w:rPr>
          <w:rFonts w:hint="eastAsia" w:cs="仿宋"/>
          <w:b/>
          <w:sz w:val="28"/>
          <w:szCs w:val="28"/>
        </w:rPr>
        <w:t>（二）资金筹措方案</w:t>
      </w:r>
    </w:p>
    <w:p w14:paraId="656CCBBA">
      <w:pPr>
        <w:ind w:firstLine="643"/>
        <w:outlineLvl w:val="2"/>
        <w:rPr>
          <w:rFonts w:cs="仿宋"/>
          <w:b/>
          <w:sz w:val="28"/>
          <w:szCs w:val="28"/>
        </w:rPr>
      </w:pPr>
      <w:r>
        <w:rPr>
          <w:rFonts w:hint="eastAsia" w:cs="仿宋"/>
          <w:b/>
          <w:sz w:val="28"/>
          <w:szCs w:val="28"/>
        </w:rPr>
        <w:t>1.资金筹集情况</w:t>
      </w:r>
    </w:p>
    <w:p w14:paraId="6F3D6ACA">
      <w:pPr>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项目总投资48000.00万元。其中项目资本金9600.00万元，占总投资的20%；计划发行地方政府专项债券38400.00万元，占总投资的80%。</w:t>
      </w:r>
    </w:p>
    <w:p w14:paraId="42DEB450">
      <w:pPr>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本项目计划发行专项债券38400.00万元，其中第1年拟发行10000.00万元，第2年拟发行11000.00万元，第3年拟发行11000.00万元，第4年拟发行6400.00万元。</w:t>
      </w:r>
    </w:p>
    <w:p w14:paraId="74C66FA6">
      <w:pPr>
        <w:ind w:firstLine="643"/>
        <w:outlineLvl w:val="2"/>
        <w:rPr>
          <w:rFonts w:cs="仿宋"/>
          <w:b/>
          <w:sz w:val="28"/>
          <w:szCs w:val="28"/>
        </w:rPr>
      </w:pPr>
      <w:r>
        <w:rPr>
          <w:rFonts w:hint="eastAsia" w:cs="仿宋"/>
          <w:b/>
          <w:sz w:val="28"/>
          <w:szCs w:val="28"/>
        </w:rPr>
        <w:t>2.资金使用计划</w:t>
      </w:r>
    </w:p>
    <w:p w14:paraId="3F8B6C38">
      <w:pPr>
        <w:ind w:firstLine="640"/>
        <w:rPr>
          <w:rFonts w:hint="eastAsia" w:cs="仿宋"/>
          <w:sz w:val="28"/>
          <w:szCs w:val="28"/>
        </w:rPr>
      </w:pPr>
      <w:r>
        <w:rPr>
          <w:rFonts w:hint="eastAsia" w:cs="仿宋"/>
          <w:sz w:val="28"/>
          <w:szCs w:val="28"/>
        </w:rPr>
        <w:t>本项目为新建项目，建设周期为</w:t>
      </w:r>
      <w:r>
        <w:rPr>
          <w:rFonts w:hint="eastAsia" w:cs="仿宋"/>
          <w:sz w:val="28"/>
          <w:szCs w:val="28"/>
          <w:lang w:val="en-US" w:eastAsia="zh-CN"/>
        </w:rPr>
        <w:t>36</w:t>
      </w:r>
      <w:r>
        <w:rPr>
          <w:rFonts w:hint="eastAsia" w:cs="仿宋"/>
          <w:sz w:val="28"/>
          <w:szCs w:val="28"/>
        </w:rPr>
        <w:t>个月，计划时间为202</w:t>
      </w:r>
      <w:r>
        <w:rPr>
          <w:rFonts w:hint="eastAsia" w:cs="仿宋"/>
          <w:sz w:val="28"/>
          <w:szCs w:val="28"/>
          <w:lang w:val="en-US" w:eastAsia="zh-CN"/>
        </w:rPr>
        <w:t>5</w:t>
      </w:r>
      <w:r>
        <w:rPr>
          <w:rFonts w:hint="eastAsia" w:cs="仿宋"/>
          <w:sz w:val="28"/>
          <w:szCs w:val="28"/>
        </w:rPr>
        <w:t>年</w:t>
      </w:r>
      <w:r>
        <w:rPr>
          <w:rFonts w:hint="eastAsia" w:cs="仿宋"/>
          <w:sz w:val="28"/>
          <w:szCs w:val="28"/>
          <w:lang w:val="en-US" w:eastAsia="zh-CN"/>
        </w:rPr>
        <w:t>8</w:t>
      </w:r>
      <w:r>
        <w:rPr>
          <w:rFonts w:hint="eastAsia" w:cs="仿宋"/>
          <w:sz w:val="28"/>
          <w:szCs w:val="28"/>
        </w:rPr>
        <w:t>月-202</w:t>
      </w:r>
      <w:r>
        <w:rPr>
          <w:rFonts w:hint="eastAsia" w:cs="仿宋"/>
          <w:sz w:val="28"/>
          <w:szCs w:val="28"/>
          <w:lang w:val="en-US" w:eastAsia="zh-CN"/>
        </w:rPr>
        <w:t>8</w:t>
      </w:r>
      <w:r>
        <w:rPr>
          <w:rFonts w:hint="eastAsia" w:cs="仿宋"/>
          <w:sz w:val="28"/>
          <w:szCs w:val="28"/>
        </w:rPr>
        <w:t>年</w:t>
      </w:r>
      <w:r>
        <w:rPr>
          <w:rFonts w:hint="eastAsia" w:cs="仿宋"/>
          <w:sz w:val="28"/>
          <w:szCs w:val="28"/>
          <w:lang w:val="en-US" w:eastAsia="zh-CN"/>
        </w:rPr>
        <w:t>7</w:t>
      </w:r>
      <w:r>
        <w:rPr>
          <w:rFonts w:hint="eastAsia" w:cs="仿宋"/>
          <w:sz w:val="28"/>
          <w:szCs w:val="28"/>
        </w:rPr>
        <w:t>月，（以实际开工日期为准）。</w:t>
      </w:r>
    </w:p>
    <w:p w14:paraId="7ECB2397">
      <w:pPr>
        <w:keepNext w:val="0"/>
        <w:keepLines w:val="0"/>
        <w:pageBreakBefore w:val="0"/>
        <w:widowControl w:val="0"/>
        <w:kinsoku/>
        <w:wordWrap/>
        <w:overflowPunct/>
        <w:topLinePunct w:val="0"/>
        <w:autoSpaceDE/>
        <w:autoSpaceDN/>
        <w:bidi w:val="0"/>
        <w:adjustRightInd/>
        <w:snapToGrid/>
        <w:ind w:firstLine="640"/>
        <w:textAlignment w:val="auto"/>
        <w:outlineLvl w:val="9"/>
        <w:rPr>
          <w:rFonts w:hint="default"/>
          <w:sz w:val="28"/>
          <w:szCs w:val="28"/>
          <w:lang w:eastAsia="zh-CN"/>
        </w:rPr>
      </w:pPr>
      <w:r>
        <w:rPr>
          <w:rFonts w:hint="default"/>
          <w:sz w:val="28"/>
          <w:szCs w:val="28"/>
          <w:lang w:eastAsia="zh-CN"/>
        </w:rPr>
        <w:t>项目总投资48000.00万元。其中项目资本金9600.00万元，占总投资的20%；计划发行地方政府专项债券38400.00万元，占总投资的80%。</w:t>
      </w:r>
    </w:p>
    <w:p w14:paraId="387DD67F">
      <w:pPr>
        <w:keepNext w:val="0"/>
        <w:keepLines w:val="0"/>
        <w:pageBreakBefore w:val="0"/>
        <w:widowControl w:val="0"/>
        <w:kinsoku/>
        <w:wordWrap/>
        <w:overflowPunct/>
        <w:topLinePunct w:val="0"/>
        <w:autoSpaceDE/>
        <w:autoSpaceDN/>
        <w:bidi w:val="0"/>
        <w:adjustRightInd/>
        <w:snapToGrid/>
        <w:ind w:firstLine="640"/>
        <w:textAlignment w:val="auto"/>
        <w:outlineLvl w:val="9"/>
        <w:rPr>
          <w:rFonts w:hint="default"/>
          <w:sz w:val="28"/>
          <w:szCs w:val="28"/>
          <w:lang w:eastAsia="zh-CN"/>
        </w:rPr>
      </w:pPr>
      <w:r>
        <w:rPr>
          <w:rFonts w:hint="default"/>
          <w:sz w:val="28"/>
          <w:szCs w:val="28"/>
          <w:lang w:eastAsia="zh-CN"/>
        </w:rPr>
        <w:t>本项目计划发行专项债券38400.00万元，其中第1年拟发行10000.00万元，第2年拟发行11000.00万元，第3年拟发行11000.00万元，第4年拟发行6400.00万元。</w:t>
      </w:r>
    </w:p>
    <w:tbl>
      <w:tblPr>
        <w:tblStyle w:val="19"/>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935"/>
        <w:gridCol w:w="1221"/>
        <w:gridCol w:w="1221"/>
        <w:gridCol w:w="1221"/>
        <w:gridCol w:w="1222"/>
        <w:gridCol w:w="1240"/>
      </w:tblGrid>
      <w:tr w14:paraId="11711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000" w:type="pct"/>
            <w:gridSpan w:val="6"/>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44B70FB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Arial Narrow" w:hAnsi="Arial Narrow" w:eastAsia="Arial Narrow" w:cs="Arial Narrow"/>
                <w:b w:val="0"/>
                <w:i w:val="0"/>
                <w:iCs w:val="0"/>
                <w:color w:val="000000"/>
                <w:sz w:val="16"/>
                <w:szCs w:val="16"/>
                <w:u w:val="none"/>
              </w:rPr>
            </w:pPr>
            <w:r>
              <w:rPr>
                <w:rFonts w:hint="eastAsia" w:ascii="微软雅黑" w:hAnsi="微软雅黑" w:eastAsia="微软雅黑" w:cs="微软雅黑"/>
                <w:b w:val="0"/>
                <w:i w:val="0"/>
                <w:iCs w:val="0"/>
                <w:color w:val="000000"/>
                <w:kern w:val="0"/>
                <w:sz w:val="16"/>
                <w:szCs w:val="16"/>
                <w:u w:val="none"/>
                <w:lang w:val="en-US" w:eastAsia="zh-CN" w:bidi="ar"/>
              </w:rPr>
              <w:t>投资进度表（金额单位：人民币万元）</w:t>
            </w:r>
          </w:p>
        </w:tc>
      </w:tr>
      <w:tr w14:paraId="54D47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A519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0"/>
                <w:b w:val="0"/>
                <w:lang w:val="en-US" w:eastAsia="zh-CN" w:bidi="ar"/>
              </w:rPr>
              <w:t>项目</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3EB2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0"/>
                <w:b w:val="0"/>
                <w:lang w:val="en-US" w:eastAsia="zh-CN" w:bidi="ar"/>
              </w:rPr>
              <w:t>合计</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DCDE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2025年8-12月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BC0D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2026年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2823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2027年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C0F6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2028年1-7月 </w:t>
            </w:r>
          </w:p>
        </w:tc>
      </w:tr>
      <w:tr w14:paraId="63D5F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DE22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0"/>
                <w:b w:val="0"/>
                <w:lang w:val="en-US" w:eastAsia="zh-CN" w:bidi="ar"/>
              </w:rPr>
              <w:t>投资进度</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E2A4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DB2D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25.00%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782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29.17% </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6AB1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29.17% </w:t>
            </w:r>
          </w:p>
        </w:tc>
        <w:tc>
          <w:tcPr>
            <w:tcW w:w="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5AE3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16.66% </w:t>
            </w:r>
          </w:p>
        </w:tc>
      </w:tr>
      <w:tr w14:paraId="6BA37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EBEF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b w:val="0"/>
                <w:i w:val="0"/>
                <w:iCs w:val="0"/>
                <w:color w:val="000000"/>
                <w:sz w:val="16"/>
                <w:szCs w:val="16"/>
                <w:u w:val="none"/>
              </w:rPr>
            </w:pPr>
            <w:r>
              <w:rPr>
                <w:rFonts w:hint="default" w:ascii="华文仿宋" w:hAnsi="华文仿宋" w:eastAsia="华文仿宋" w:cs="华文仿宋"/>
                <w:b w:val="0"/>
                <w:i w:val="0"/>
                <w:iCs w:val="0"/>
                <w:color w:val="000000"/>
                <w:kern w:val="0"/>
                <w:sz w:val="16"/>
                <w:szCs w:val="16"/>
                <w:u w:val="none"/>
                <w:lang w:val="en-US" w:eastAsia="zh-CN" w:bidi="ar"/>
              </w:rPr>
              <w:t>一、投资</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46DF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48,000.00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C2DC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12,000.00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1D20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14,000.00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715C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14,000.00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F7FEA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8,000.00 </w:t>
            </w:r>
          </w:p>
        </w:tc>
      </w:tr>
      <w:tr w14:paraId="624DC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9284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0"/>
                <w:b w:val="0"/>
                <w:lang w:val="en-US" w:eastAsia="zh-CN" w:bidi="ar"/>
              </w:rPr>
              <w:t>（一）建设投资</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BC09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45,415.47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031C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11,856.67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E94C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13,317.00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C0FD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12,965.00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3337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7,276.80 </w:t>
            </w:r>
          </w:p>
        </w:tc>
      </w:tr>
      <w:tr w14:paraId="08AF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05E1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1"/>
                <w:b w:val="0"/>
                <w:lang w:val="en-US" w:eastAsia="zh-CN" w:bidi="ar"/>
              </w:rPr>
              <w:t>1</w:t>
            </w:r>
            <w:r>
              <w:rPr>
                <w:rStyle w:val="30"/>
                <w:b w:val="0"/>
                <w:lang w:val="en-US" w:eastAsia="zh-CN" w:bidi="ar"/>
              </w:rPr>
              <w:t>、工程费用</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AFBE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38,651.03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B236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10,090.67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ADA9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11,333.49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83DF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11,033.91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1EF5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6,192.95 </w:t>
            </w:r>
          </w:p>
        </w:tc>
      </w:tr>
      <w:tr w14:paraId="48D6C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F0E6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0"/>
                <w:b w:val="0"/>
                <w:lang w:val="en-US" w:eastAsia="zh-CN" w:bidi="ar"/>
              </w:rPr>
              <w:t>（</w:t>
            </w:r>
            <w:r>
              <w:rPr>
                <w:rStyle w:val="31"/>
                <w:b w:val="0"/>
                <w:lang w:val="en-US" w:eastAsia="zh-CN" w:bidi="ar"/>
              </w:rPr>
              <w:t>1</w:t>
            </w:r>
            <w:r>
              <w:rPr>
                <w:rStyle w:val="30"/>
                <w:b w:val="0"/>
                <w:lang w:val="en-US" w:eastAsia="zh-CN" w:bidi="ar"/>
              </w:rPr>
              <w:t>）建筑安装工程</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C5FA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33,354.55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B35E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8,707.91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59EB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9,780.42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2311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9,521.90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F3A8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5,344.31 </w:t>
            </w:r>
          </w:p>
        </w:tc>
      </w:tr>
      <w:tr w14:paraId="13E5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C62B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0"/>
                <w:b w:val="0"/>
                <w:lang w:val="en-US" w:eastAsia="zh-CN" w:bidi="ar"/>
              </w:rPr>
              <w:t>（</w:t>
            </w:r>
            <w:r>
              <w:rPr>
                <w:rStyle w:val="31"/>
                <w:b w:val="0"/>
                <w:lang w:val="en-US" w:eastAsia="zh-CN" w:bidi="ar"/>
              </w:rPr>
              <w:t>2</w:t>
            </w:r>
            <w:r>
              <w:rPr>
                <w:rStyle w:val="30"/>
                <w:b w:val="0"/>
                <w:lang w:val="en-US" w:eastAsia="zh-CN" w:bidi="ar"/>
              </w:rPr>
              <w:t>）设备购置</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997F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5,296.48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5F60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1,382.76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C951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1,553.07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6956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1,512.01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7FF3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848.64 </w:t>
            </w:r>
          </w:p>
        </w:tc>
      </w:tr>
      <w:tr w14:paraId="4E654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ADC6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1"/>
                <w:b w:val="0"/>
                <w:lang w:val="en-US" w:eastAsia="zh-CN" w:bidi="ar"/>
              </w:rPr>
              <w:t>2</w:t>
            </w:r>
            <w:r>
              <w:rPr>
                <w:rStyle w:val="30"/>
                <w:b w:val="0"/>
                <w:lang w:val="en-US" w:eastAsia="zh-CN" w:bidi="ar"/>
              </w:rPr>
              <w:t>、工程建设其他费用</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6751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4,631.80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6F1F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1,209.23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7403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1,358.16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85C2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1,322.27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7229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742.14 </w:t>
            </w:r>
          </w:p>
        </w:tc>
      </w:tr>
      <w:tr w14:paraId="55361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6880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Style w:val="31"/>
                <w:b w:val="0"/>
                <w:lang w:val="en-US" w:eastAsia="zh-CN" w:bidi="ar"/>
              </w:rPr>
              <w:t>3</w:t>
            </w:r>
            <w:r>
              <w:rPr>
                <w:rStyle w:val="30"/>
                <w:b w:val="0"/>
                <w:lang w:val="en-US" w:eastAsia="zh-CN" w:bidi="ar"/>
              </w:rPr>
              <w:t>、预备费用</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C01F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2,132.64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4989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556.77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8F6E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625.35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89FB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608.82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AD9B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341.71 </w:t>
            </w:r>
          </w:p>
        </w:tc>
      </w:tr>
      <w:tr w14:paraId="0512B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DA50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b w:val="0"/>
                <w:i w:val="0"/>
                <w:iCs w:val="0"/>
                <w:color w:val="000000"/>
                <w:sz w:val="16"/>
                <w:szCs w:val="16"/>
                <w:u w:val="none"/>
              </w:rPr>
            </w:pPr>
            <w:r>
              <w:rPr>
                <w:rFonts w:hint="default" w:ascii="华文仿宋" w:hAnsi="华文仿宋" w:eastAsia="华文仿宋" w:cs="华文仿宋"/>
                <w:b w:val="0"/>
                <w:i w:val="0"/>
                <w:iCs w:val="0"/>
                <w:color w:val="000000"/>
                <w:kern w:val="0"/>
                <w:sz w:val="16"/>
                <w:szCs w:val="16"/>
                <w:u w:val="none"/>
                <w:lang w:val="en-US" w:eastAsia="zh-CN" w:bidi="ar"/>
              </w:rPr>
              <w:t>（三）建设期利息</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8A15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2,546.13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6671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133.33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2CE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672.00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89E6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1,024.00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3AA1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716.80 </w:t>
            </w:r>
          </w:p>
        </w:tc>
      </w:tr>
      <w:tr w14:paraId="79D05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D880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b w:val="0"/>
                <w:i w:val="0"/>
                <w:iCs w:val="0"/>
                <w:color w:val="000000"/>
                <w:sz w:val="16"/>
                <w:szCs w:val="16"/>
                <w:u w:val="none"/>
              </w:rPr>
            </w:pPr>
            <w:r>
              <w:rPr>
                <w:rFonts w:hint="default" w:ascii="华文仿宋" w:hAnsi="华文仿宋" w:eastAsia="华文仿宋" w:cs="华文仿宋"/>
                <w:b w:val="0"/>
                <w:i w:val="0"/>
                <w:iCs w:val="0"/>
                <w:color w:val="000000"/>
                <w:kern w:val="0"/>
                <w:sz w:val="16"/>
                <w:szCs w:val="16"/>
                <w:u w:val="none"/>
                <w:lang w:val="en-US" w:eastAsia="zh-CN" w:bidi="ar"/>
              </w:rPr>
              <w:t>（四）专项债券发行费用</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E29B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38.40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5028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E551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11.00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B2CE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11.00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DEF6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6.40 </w:t>
            </w:r>
          </w:p>
        </w:tc>
      </w:tr>
      <w:tr w14:paraId="62049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E3C5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b w:val="0"/>
                <w:i w:val="0"/>
                <w:iCs w:val="0"/>
                <w:color w:val="000000"/>
                <w:sz w:val="16"/>
                <w:szCs w:val="16"/>
                <w:u w:val="none"/>
              </w:rPr>
            </w:pPr>
            <w:r>
              <w:rPr>
                <w:rFonts w:hint="default" w:ascii="华文仿宋" w:hAnsi="华文仿宋" w:eastAsia="华文仿宋" w:cs="华文仿宋"/>
                <w:b w:val="0"/>
                <w:i w:val="0"/>
                <w:iCs w:val="0"/>
                <w:color w:val="000000"/>
                <w:kern w:val="0"/>
                <w:sz w:val="16"/>
                <w:szCs w:val="16"/>
                <w:u w:val="none"/>
                <w:lang w:val="en-US" w:eastAsia="zh-CN" w:bidi="ar"/>
              </w:rPr>
              <w:t>二、筹资</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77D7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48,000.00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B038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12,000.00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0B44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14,000.00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6644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14,000.00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6457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8,000.00 </w:t>
            </w:r>
          </w:p>
        </w:tc>
      </w:tr>
      <w:tr w14:paraId="42291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4763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b w:val="0"/>
                <w:i w:val="0"/>
                <w:iCs w:val="0"/>
                <w:color w:val="000000"/>
                <w:sz w:val="16"/>
                <w:szCs w:val="16"/>
                <w:u w:val="none"/>
              </w:rPr>
            </w:pPr>
            <w:r>
              <w:rPr>
                <w:rFonts w:hint="default" w:ascii="华文仿宋" w:hAnsi="华文仿宋" w:eastAsia="华文仿宋" w:cs="华文仿宋"/>
                <w:b w:val="0"/>
                <w:i w:val="0"/>
                <w:iCs w:val="0"/>
                <w:color w:val="000000"/>
                <w:kern w:val="0"/>
                <w:sz w:val="16"/>
                <w:szCs w:val="16"/>
                <w:u w:val="none"/>
                <w:lang w:val="en-US" w:eastAsia="zh-CN" w:bidi="ar"/>
              </w:rPr>
              <w:t>（二）地方政府专项债券</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3E9C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38,400.00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7BCF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10,000.00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548B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11,000.00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5EEB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11,000.00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DE76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6,400.00 </w:t>
            </w:r>
          </w:p>
        </w:tc>
      </w:tr>
      <w:tr w14:paraId="22CC5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F055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i w:val="0"/>
                <w:iCs w:val="0"/>
                <w:color w:val="000000"/>
                <w:sz w:val="16"/>
                <w:szCs w:val="16"/>
                <w:u w:val="none"/>
              </w:rPr>
            </w:pPr>
            <w:r>
              <w:rPr>
                <w:rFonts w:hint="eastAsia" w:ascii="华文仿宋" w:hAnsi="华文仿宋" w:eastAsia="华文仿宋" w:cs="华文仿宋"/>
                <w:b w:val="0"/>
                <w:i w:val="0"/>
                <w:iCs w:val="0"/>
                <w:color w:val="000000"/>
                <w:kern w:val="0"/>
                <w:sz w:val="16"/>
                <w:szCs w:val="16"/>
                <w:u w:val="none"/>
                <w:lang w:val="en-US" w:eastAsia="zh-CN" w:bidi="ar"/>
              </w:rPr>
              <w:t>（四）单位自筹资金</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5EE3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9,600.00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95E4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2,000.00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7256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3,000.00 </w:t>
            </w:r>
          </w:p>
        </w:tc>
        <w:tc>
          <w:tcPr>
            <w:tcW w:w="6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1FE7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3,000.00 </w:t>
            </w:r>
          </w:p>
        </w:tc>
        <w:tc>
          <w:tcPr>
            <w:tcW w:w="6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A938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b w:val="0"/>
                <w:i w:val="0"/>
                <w:iCs w:val="0"/>
                <w:color w:val="000000"/>
                <w:sz w:val="16"/>
                <w:szCs w:val="16"/>
                <w:u w:val="none"/>
              </w:rPr>
            </w:pPr>
            <w:r>
              <w:rPr>
                <w:rFonts w:hint="default" w:ascii="Arial Narrow" w:hAnsi="Arial Narrow" w:eastAsia="Arial Narrow" w:cs="Arial Narrow"/>
                <w:b w:val="0"/>
                <w:i w:val="0"/>
                <w:iCs w:val="0"/>
                <w:color w:val="000000"/>
                <w:kern w:val="0"/>
                <w:sz w:val="16"/>
                <w:szCs w:val="16"/>
                <w:u w:val="none"/>
                <w:lang w:val="en-US" w:eastAsia="zh-CN" w:bidi="ar"/>
              </w:rPr>
              <w:t xml:space="preserve"> 1,600.00 </w:t>
            </w:r>
          </w:p>
        </w:tc>
      </w:tr>
    </w:tbl>
    <w:p w14:paraId="166815FD">
      <w:pPr>
        <w:snapToGrid w:val="0"/>
        <w:spacing w:beforeLines="100"/>
        <w:ind w:left="0" w:leftChars="0" w:firstLine="0" w:firstLineChars="0"/>
        <w:outlineLvl w:val="0"/>
        <w:rPr>
          <w:rFonts w:cs="仿宋"/>
          <w:b/>
          <w:bCs/>
          <w:sz w:val="28"/>
          <w:szCs w:val="28"/>
        </w:rPr>
      </w:pPr>
      <w:r>
        <w:rPr>
          <w:rFonts w:hint="eastAsia" w:cs="仿宋"/>
          <w:b/>
          <w:bCs/>
          <w:sz w:val="28"/>
          <w:szCs w:val="28"/>
        </w:rPr>
        <w:t>四、项目预期收益、成本及融资平衡情况</w:t>
      </w:r>
    </w:p>
    <w:p w14:paraId="24384C1B">
      <w:pPr>
        <w:ind w:firstLine="643"/>
        <w:rPr>
          <w:rFonts w:cs="仿宋"/>
          <w:b/>
          <w:sz w:val="28"/>
          <w:szCs w:val="28"/>
        </w:rPr>
      </w:pPr>
      <w:r>
        <w:rPr>
          <w:rFonts w:hint="eastAsia" w:cs="仿宋"/>
          <w:b/>
          <w:sz w:val="28"/>
          <w:szCs w:val="28"/>
        </w:rPr>
        <w:t>（一）预期收益</w:t>
      </w:r>
    </w:p>
    <w:p w14:paraId="1985FA84">
      <w:pPr>
        <w:ind w:firstLine="643"/>
        <w:rPr>
          <w:rFonts w:cs="仿宋"/>
          <w:b/>
          <w:sz w:val="28"/>
          <w:szCs w:val="28"/>
        </w:rPr>
      </w:pPr>
      <w:r>
        <w:rPr>
          <w:rFonts w:hint="eastAsia" w:cs="仿宋"/>
          <w:b/>
          <w:sz w:val="28"/>
          <w:szCs w:val="28"/>
        </w:rPr>
        <w:t>1.项目收入</w:t>
      </w:r>
    </w:p>
    <w:p w14:paraId="76BC5C89">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cs="仿宋"/>
          <w:sz w:val="28"/>
          <w:szCs w:val="28"/>
          <w:lang w:val="zh-CN"/>
        </w:rPr>
      </w:pPr>
      <w:r>
        <w:rPr>
          <w:rFonts w:hint="eastAsia" w:cs="仿宋"/>
          <w:sz w:val="28"/>
          <w:szCs w:val="28"/>
          <w:lang w:val="zh-CN"/>
        </w:rPr>
        <w:t>本项目收入主要来源于本项目收入主要来源于</w:t>
      </w:r>
      <w:r>
        <w:rPr>
          <w:rFonts w:hint="eastAsia" w:cs="Times New Roman"/>
          <w:color w:val="auto"/>
          <w:sz w:val="28"/>
          <w:szCs w:val="28"/>
          <w:highlight w:val="none"/>
          <w:lang w:val="en-US" w:eastAsia="zh-CN"/>
        </w:rPr>
        <w:t>种植优质粮油农产品销售收入、育苗基地秧苗出售收入、农产品分拣初加工中心出租收入、冷链仓储中心出租收入、畜禽粪污综合利用加工中心收入、充电桩收入</w:t>
      </w:r>
      <w:r>
        <w:rPr>
          <w:rFonts w:hint="eastAsia" w:cs="仿宋"/>
          <w:sz w:val="28"/>
          <w:szCs w:val="28"/>
          <w:lang w:val="zh-CN"/>
        </w:rPr>
        <w:t>，在债券存续期内总收入预测为</w:t>
      </w:r>
      <w:r>
        <w:rPr>
          <w:rFonts w:hint="eastAsia"/>
          <w:sz w:val="28"/>
          <w:szCs w:val="28"/>
          <w:highlight w:val="none"/>
          <w:lang w:val="en-US" w:eastAsia="zh-CN"/>
        </w:rPr>
        <w:t>为158653.83万元</w:t>
      </w:r>
      <w:r>
        <w:rPr>
          <w:rFonts w:hint="eastAsia" w:cs="仿宋"/>
          <w:sz w:val="28"/>
          <w:szCs w:val="28"/>
          <w:lang w:val="zh-CN"/>
        </w:rPr>
        <w:t>。</w:t>
      </w:r>
    </w:p>
    <w:p w14:paraId="273ED85D">
      <w:pPr>
        <w:ind w:firstLine="643"/>
        <w:rPr>
          <w:rFonts w:cs="仿宋"/>
          <w:b/>
          <w:sz w:val="28"/>
          <w:szCs w:val="28"/>
        </w:rPr>
      </w:pPr>
      <w:r>
        <w:rPr>
          <w:rFonts w:hint="eastAsia" w:cs="仿宋"/>
          <w:b/>
          <w:sz w:val="28"/>
          <w:szCs w:val="28"/>
        </w:rPr>
        <w:t>2.项目成本</w:t>
      </w:r>
    </w:p>
    <w:p w14:paraId="72A2A250">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cs="仿宋"/>
          <w:spacing w:val="6"/>
          <w:sz w:val="28"/>
          <w:szCs w:val="28"/>
        </w:rPr>
      </w:pPr>
      <w:r>
        <w:rPr>
          <w:rFonts w:hint="eastAsia" w:cs="仿宋"/>
          <w:sz w:val="28"/>
          <w:szCs w:val="28"/>
        </w:rPr>
        <w:t>项目成本主要包括</w:t>
      </w:r>
      <w:r>
        <w:rPr>
          <w:rFonts w:hint="eastAsia" w:cs="仿宋"/>
          <w:sz w:val="28"/>
          <w:szCs w:val="28"/>
          <w:lang w:val="en-US" w:eastAsia="zh-CN"/>
        </w:rPr>
        <w:t>燃料及动力费、管理费用、维修费用、工资及福利费、财务费用、税金及附加等</w:t>
      </w:r>
      <w:r>
        <w:rPr>
          <w:rFonts w:hint="eastAsia" w:cs="仿宋"/>
          <w:sz w:val="28"/>
          <w:szCs w:val="28"/>
        </w:rPr>
        <w:t>，</w:t>
      </w:r>
      <w:r>
        <w:rPr>
          <w:rFonts w:hint="eastAsia"/>
          <w:sz w:val="28"/>
          <w:szCs w:val="28"/>
          <w:highlight w:val="none"/>
          <w:lang w:val="en-US" w:eastAsia="zh-CN"/>
        </w:rPr>
        <w:t>本项目运营期间运营支出为</w:t>
      </w:r>
      <w:r>
        <w:rPr>
          <w:rFonts w:hint="eastAsia" w:eastAsia="仿宋_GB2312" w:cs="Times New Roman"/>
          <w:sz w:val="28"/>
          <w:szCs w:val="28"/>
          <w:highlight w:val="none"/>
          <w:lang w:val="en-US" w:eastAsia="zh-CN"/>
        </w:rPr>
        <w:t>108351.96万元</w:t>
      </w:r>
      <w:r>
        <w:rPr>
          <w:rFonts w:hint="eastAsia" w:cs="仿宋"/>
          <w:spacing w:val="6"/>
          <w:sz w:val="28"/>
          <w:szCs w:val="28"/>
        </w:rPr>
        <w:t>。</w:t>
      </w:r>
    </w:p>
    <w:p w14:paraId="542CAA82">
      <w:pPr>
        <w:ind w:firstLine="643"/>
        <w:rPr>
          <w:rFonts w:hint="eastAsia" w:cs="仿宋"/>
          <w:b/>
          <w:sz w:val="28"/>
          <w:szCs w:val="28"/>
        </w:rPr>
      </w:pPr>
      <w:r>
        <w:rPr>
          <w:rFonts w:hint="eastAsia" w:cs="仿宋"/>
          <w:b/>
          <w:sz w:val="28"/>
          <w:szCs w:val="28"/>
        </w:rPr>
        <w:t>3.项目损益</w:t>
      </w:r>
    </w:p>
    <w:p w14:paraId="60D8CB6F">
      <w:pPr>
        <w:pStyle w:val="18"/>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根据《中华人民共和国企业所得税法》第十八条：企业纳税年度发生的亏损，专准予向以后年度结属转，用以后年度的所得弥补，但结转年限最长不得超过五年。本项目中所得税按25%计算。</w:t>
      </w:r>
      <w:r>
        <w:rPr>
          <w:rFonts w:hint="eastAsia" w:ascii="仿宋" w:hAnsi="仿宋" w:eastAsia="仿宋" w:cs="仿宋"/>
          <w:sz w:val="28"/>
          <w:szCs w:val="28"/>
        </w:rPr>
        <w:t>本项目在债券存续期内项目总收入估算结果为158653.83万元，息前净现金流量累计72331.74万元，净利润累计6836.69万元，息税前利润IBIT累计28866.56万元。</w:t>
      </w:r>
      <w:r>
        <w:rPr>
          <w:rFonts w:hint="eastAsia" w:ascii="仿宋" w:hAnsi="仿宋" w:eastAsia="仿宋" w:cs="仿宋"/>
          <w:sz w:val="28"/>
          <w:szCs w:val="28"/>
          <w:lang w:eastAsia="zh-CN"/>
        </w:rPr>
        <w:t>项目</w:t>
      </w:r>
      <w:r>
        <w:rPr>
          <w:rFonts w:hint="eastAsia" w:ascii="仿宋" w:hAnsi="仿宋" w:eastAsia="仿宋" w:cs="仿宋"/>
          <w:sz w:val="28"/>
          <w:szCs w:val="28"/>
        </w:rPr>
        <w:t>有一定盈利，能够维持运营和发展需要</w:t>
      </w:r>
      <w:r>
        <w:rPr>
          <w:rFonts w:hint="eastAsia" w:ascii="仿宋" w:hAnsi="仿宋" w:eastAsia="仿宋" w:cs="仿宋"/>
          <w:sz w:val="28"/>
          <w:szCs w:val="28"/>
          <w:lang w:eastAsia="zh-CN"/>
        </w:rPr>
        <w:t>。</w:t>
      </w:r>
    </w:p>
    <w:p w14:paraId="70BECE00">
      <w:pPr>
        <w:snapToGrid w:val="0"/>
        <w:spacing w:beforeLines="100"/>
        <w:ind w:firstLine="643"/>
        <w:rPr>
          <w:rFonts w:cs="仿宋"/>
          <w:sz w:val="28"/>
          <w:szCs w:val="28"/>
          <w:lang w:val="en-GB"/>
        </w:rPr>
      </w:pPr>
      <w:r>
        <w:rPr>
          <w:rFonts w:hint="eastAsia" w:cs="仿宋"/>
          <w:b/>
          <w:sz w:val="28"/>
          <w:szCs w:val="28"/>
        </w:rPr>
        <w:t>（二）资金测算平衡情况</w:t>
      </w:r>
    </w:p>
    <w:p w14:paraId="7478E32C">
      <w:pPr>
        <w:keepNext w:val="0"/>
        <w:keepLines w:val="0"/>
        <w:pageBreakBefore w:val="0"/>
        <w:widowControl w:val="0"/>
        <w:kinsoku/>
        <w:wordWrap/>
        <w:overflowPunct/>
        <w:topLinePunct w:val="0"/>
        <w:autoSpaceDE/>
        <w:autoSpaceDN/>
        <w:bidi w:val="0"/>
        <w:adjustRightInd/>
        <w:snapToGrid/>
        <w:ind w:firstLine="640"/>
        <w:textAlignment w:val="auto"/>
        <w:rPr>
          <w:rFonts w:cs="仿宋"/>
          <w:sz w:val="28"/>
          <w:szCs w:val="28"/>
        </w:rPr>
      </w:pPr>
      <w:r>
        <w:rPr>
          <w:rFonts w:hint="eastAsia" w:cs="仿宋"/>
          <w:sz w:val="28"/>
          <w:szCs w:val="28"/>
          <w:lang w:val="en-US" w:eastAsia="zh-CN"/>
        </w:rPr>
        <w:t>1</w:t>
      </w:r>
      <w:r>
        <w:rPr>
          <w:rFonts w:hint="eastAsia" w:cs="仿宋"/>
          <w:sz w:val="28"/>
          <w:szCs w:val="28"/>
        </w:rPr>
        <w:t>.专项债券融资资金测算平衡情况</w:t>
      </w:r>
    </w:p>
    <w:p w14:paraId="4B30C270">
      <w:pPr>
        <w:keepNext w:val="0"/>
        <w:keepLines w:val="0"/>
        <w:pageBreakBefore w:val="0"/>
        <w:widowControl w:val="0"/>
        <w:kinsoku/>
        <w:wordWrap/>
        <w:overflowPunct/>
        <w:topLinePunct w:val="0"/>
        <w:autoSpaceDE/>
        <w:autoSpaceDN/>
        <w:bidi w:val="0"/>
        <w:adjustRightInd/>
        <w:snapToGrid/>
        <w:ind w:firstLine="640"/>
        <w:textAlignment w:val="auto"/>
        <w:rPr>
          <w:rFonts w:hint="eastAsia" w:cs="仿宋"/>
          <w:sz w:val="28"/>
          <w:szCs w:val="28"/>
        </w:rPr>
      </w:pPr>
      <w:r>
        <w:drawing>
          <wp:anchor distT="0" distB="0" distL="114300" distR="114300" simplePos="0" relativeHeight="251659264" behindDoc="0" locked="0" layoutInCell="1" allowOverlap="1">
            <wp:simplePos x="0" y="0"/>
            <wp:positionH relativeFrom="column">
              <wp:posOffset>-114935</wp:posOffset>
            </wp:positionH>
            <wp:positionV relativeFrom="paragraph">
              <wp:posOffset>1590675</wp:posOffset>
            </wp:positionV>
            <wp:extent cx="5610225" cy="3310255"/>
            <wp:effectExtent l="0" t="0" r="9525" b="444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610225" cy="3310255"/>
                    </a:xfrm>
                    <a:prstGeom prst="rect">
                      <a:avLst/>
                    </a:prstGeom>
                    <a:noFill/>
                    <a:ln>
                      <a:noFill/>
                    </a:ln>
                  </pic:spPr>
                </pic:pic>
              </a:graphicData>
            </a:graphic>
          </wp:anchor>
        </w:drawing>
      </w:r>
      <w:r>
        <w:rPr>
          <w:rFonts w:hint="eastAsia" w:cs="仿宋"/>
          <w:sz w:val="28"/>
          <w:szCs w:val="28"/>
        </w:rPr>
        <w:t>根据融资平衡测算分析，在满足假设条件的前提下，本项目计算期内本项目可以实现累计盈余资金11901.87万元，项目融资收益本息覆盖率=息前现金净流量÷运营期本息和=1.1</w:t>
      </w:r>
      <w:r>
        <w:rPr>
          <w:rFonts w:hint="eastAsia" w:cs="仿宋"/>
          <w:sz w:val="28"/>
          <w:szCs w:val="28"/>
          <w:lang w:val="en-US" w:eastAsia="zh-CN"/>
        </w:rPr>
        <w:t>5</w:t>
      </w:r>
      <w:r>
        <w:rPr>
          <w:rFonts w:hint="eastAsia" w:cs="仿宋"/>
          <w:sz w:val="28"/>
          <w:szCs w:val="28"/>
        </w:rPr>
        <w:t>。该部分收益足以覆盖还本付息，且有盈余，项目偿债能力较强。</w:t>
      </w:r>
    </w:p>
    <w:p w14:paraId="62C6CDB7">
      <w:pPr>
        <w:pStyle w:val="14"/>
        <w:ind w:left="0" w:leftChars="0" w:firstLine="0" w:firstLineChars="0"/>
        <w:rPr>
          <w:rFonts w:ascii="黑体" w:eastAsia="黑体"/>
          <w:sz w:val="28"/>
          <w:szCs w:val="28"/>
        </w:rPr>
      </w:pPr>
      <w:r>
        <w:rPr>
          <w:rFonts w:hint="eastAsia" w:ascii="黑体" w:eastAsia="黑体"/>
          <w:sz w:val="28"/>
          <w:szCs w:val="28"/>
        </w:rPr>
        <w:t>五、项目绩效目标</w:t>
      </w:r>
    </w:p>
    <w:p w14:paraId="048CC76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时效目标:本次债券</w:t>
      </w:r>
      <w:r>
        <w:rPr>
          <w:rFonts w:hint="eastAsia" w:ascii="仿宋" w:hAnsi="仿宋" w:eastAsia="仿宋"/>
          <w:sz w:val="28"/>
          <w:szCs w:val="28"/>
          <w:lang w:val="zh-CN"/>
        </w:rPr>
        <w:t>发行期限为</w:t>
      </w:r>
      <w:r>
        <w:rPr>
          <w:rFonts w:hint="eastAsia"/>
          <w:sz w:val="28"/>
          <w:szCs w:val="28"/>
          <w:lang w:val="en-US" w:eastAsia="zh-CN"/>
        </w:rPr>
        <w:t>20</w:t>
      </w:r>
      <w:r>
        <w:rPr>
          <w:rFonts w:hint="eastAsia" w:ascii="仿宋" w:hAnsi="仿宋" w:eastAsia="仿宋"/>
          <w:sz w:val="28"/>
          <w:szCs w:val="28"/>
          <w:lang w:val="zh-CN"/>
        </w:rPr>
        <w:t>年</w:t>
      </w:r>
      <w:r>
        <w:rPr>
          <w:rFonts w:hint="eastAsia" w:ascii="仿宋" w:hAnsi="仿宋" w:eastAsia="仿宋"/>
          <w:sz w:val="28"/>
          <w:szCs w:val="28"/>
          <w:lang w:val="zh-CN" w:eastAsia="zh-CN"/>
        </w:rPr>
        <w:t>，</w:t>
      </w:r>
      <w:r>
        <w:rPr>
          <w:rFonts w:hint="eastAsia" w:ascii="仿宋" w:hAnsi="仿宋" w:eastAsia="仿宋"/>
          <w:sz w:val="28"/>
          <w:szCs w:val="28"/>
          <w:lang w:val="en-US" w:eastAsia="zh-CN"/>
        </w:rPr>
        <w:t>债券</w:t>
      </w:r>
      <w:r>
        <w:rPr>
          <w:rFonts w:hint="eastAsia"/>
          <w:sz w:val="28"/>
          <w:szCs w:val="28"/>
          <w:lang w:val="en-US" w:eastAsia="zh-CN"/>
        </w:rPr>
        <w:t>20</w:t>
      </w:r>
      <w:r>
        <w:rPr>
          <w:rFonts w:hint="eastAsia" w:ascii="仿宋" w:hAnsi="仿宋" w:eastAsia="仿宋"/>
          <w:sz w:val="28"/>
          <w:szCs w:val="28"/>
          <w:lang w:val="en-US" w:eastAsia="zh-CN"/>
        </w:rPr>
        <w:t>年内还本付息，</w:t>
      </w:r>
      <w:r>
        <w:rPr>
          <w:rFonts w:hint="eastAsia" w:cs="仿宋"/>
          <w:color w:val="auto"/>
          <w:sz w:val="28"/>
          <w:szCs w:val="28"/>
          <w:lang w:eastAsia="zh-CN"/>
        </w:rPr>
        <w:t>内江人和国有资产经营有限责任公司</w:t>
      </w:r>
      <w:r>
        <w:rPr>
          <w:rFonts w:hint="eastAsia" w:ascii="仿宋" w:hAnsi="仿宋" w:eastAsia="仿宋"/>
          <w:sz w:val="28"/>
          <w:szCs w:val="28"/>
          <w:lang w:val="en-US" w:eastAsia="zh-CN"/>
        </w:rPr>
        <w:t>可根据项目收益及实施情况提前还本付息。</w:t>
      </w:r>
    </w:p>
    <w:p w14:paraId="326A20B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zh-CN" w:eastAsia="zh-CN"/>
        </w:rPr>
      </w:pPr>
      <w:r>
        <w:rPr>
          <w:rFonts w:hint="eastAsia" w:ascii="仿宋" w:hAnsi="仿宋" w:eastAsia="仿宋"/>
          <w:sz w:val="28"/>
          <w:szCs w:val="28"/>
          <w:lang w:val="en-US" w:eastAsia="zh-CN"/>
        </w:rPr>
        <w:t>经济效益目标：</w:t>
      </w:r>
      <w:r>
        <w:rPr>
          <w:rFonts w:hint="eastAsia" w:ascii="仿宋" w:hAnsi="仿宋" w:eastAsia="仿宋"/>
          <w:sz w:val="28"/>
          <w:szCs w:val="28"/>
          <w:lang w:val="zh-CN"/>
        </w:rPr>
        <w:t>创造就业机会，创造地方国民生产总值，增加税收</w:t>
      </w:r>
      <w:r>
        <w:rPr>
          <w:rFonts w:hint="eastAsia" w:ascii="仿宋" w:hAnsi="仿宋" w:eastAsia="仿宋"/>
          <w:sz w:val="28"/>
          <w:szCs w:val="28"/>
          <w:lang w:val="zh-CN" w:eastAsia="zh-CN"/>
        </w:rPr>
        <w:t>。</w:t>
      </w:r>
    </w:p>
    <w:p w14:paraId="4A63724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zh-CN" w:eastAsia="zh-CN"/>
        </w:rPr>
      </w:pPr>
      <w:r>
        <w:rPr>
          <w:rFonts w:hint="eastAsia" w:ascii="仿宋" w:hAnsi="仿宋" w:eastAsia="仿宋"/>
          <w:sz w:val="28"/>
          <w:szCs w:val="28"/>
          <w:lang w:val="en-US" w:eastAsia="zh-CN"/>
        </w:rPr>
        <w:t>社会效益目标：工程建设期间期间，将增加大量的就业机会，带动当地及周边群众走上脱贫致富之路，提升人民生活质量。</w:t>
      </w:r>
    </w:p>
    <w:p w14:paraId="7E533330">
      <w:pPr>
        <w:ind w:firstLine="640"/>
        <w:rPr>
          <w:sz w:val="28"/>
          <w:szCs w:val="28"/>
        </w:rPr>
      </w:pPr>
      <w:r>
        <w:rPr>
          <w:rFonts w:hint="eastAsia" w:ascii="仿宋" w:hAnsi="仿宋" w:eastAsia="仿宋"/>
          <w:sz w:val="28"/>
          <w:szCs w:val="28"/>
          <w:lang w:val="en-US" w:eastAsia="zh-CN"/>
        </w:rPr>
        <w:t>可持续影响目标：</w:t>
      </w:r>
      <w:r>
        <w:rPr>
          <w:rFonts w:hint="eastAsia" w:ascii="仿宋" w:hAnsi="仿宋" w:eastAsia="仿宋"/>
          <w:sz w:val="28"/>
          <w:szCs w:val="28"/>
          <w:lang w:val="zh-CN"/>
        </w:rPr>
        <w:t>优化区域经济结构和产业布局</w:t>
      </w:r>
      <w:r>
        <w:rPr>
          <w:rFonts w:hint="eastAsia" w:ascii="仿宋" w:hAnsi="仿宋" w:eastAsia="仿宋"/>
          <w:sz w:val="28"/>
          <w:szCs w:val="28"/>
          <w:lang w:val="zh-CN" w:eastAsia="zh-CN"/>
        </w:rPr>
        <w:t>。</w:t>
      </w:r>
    </w:p>
    <w:p w14:paraId="6C4861AF">
      <w:pPr>
        <w:spacing w:beforeLines="100" w:after="120"/>
        <w:ind w:firstLine="643"/>
        <w:outlineLvl w:val="0"/>
        <w:rPr>
          <w:rFonts w:cs="仿宋"/>
          <w:b/>
          <w:bCs/>
          <w:sz w:val="28"/>
          <w:szCs w:val="28"/>
        </w:rPr>
      </w:pPr>
      <w:r>
        <w:rPr>
          <w:rFonts w:hint="eastAsia" w:cs="仿宋"/>
          <w:b/>
          <w:bCs/>
          <w:sz w:val="28"/>
          <w:szCs w:val="28"/>
        </w:rPr>
        <w:t>六、潜在影响项目的风险评估</w:t>
      </w:r>
    </w:p>
    <w:p w14:paraId="67B94A70">
      <w:pPr>
        <w:ind w:firstLine="640"/>
        <w:outlineLvl w:val="1"/>
        <w:rPr>
          <w:rFonts w:cs="仿宋"/>
          <w:sz w:val="28"/>
          <w:szCs w:val="28"/>
        </w:rPr>
      </w:pPr>
      <w:bookmarkStart w:id="23" w:name="_Toc20292"/>
      <w:bookmarkStart w:id="24" w:name="_Toc17546587"/>
      <w:bookmarkStart w:id="25" w:name="_Toc8221"/>
      <w:bookmarkStart w:id="26" w:name="_Toc3133"/>
      <w:bookmarkStart w:id="27" w:name="_Toc13272"/>
      <w:bookmarkStart w:id="28" w:name="_Toc523481580"/>
      <w:bookmarkStart w:id="29" w:name="_Toc11878"/>
      <w:bookmarkStart w:id="30" w:name="_Toc19307"/>
      <w:bookmarkStart w:id="31" w:name="_Toc23946"/>
      <w:bookmarkStart w:id="32" w:name="_Toc17567"/>
      <w:bookmarkStart w:id="33" w:name="_Toc10507"/>
      <w:bookmarkStart w:id="34" w:name="_Toc533440373"/>
      <w:bookmarkStart w:id="35" w:name="_Toc19329"/>
      <w:bookmarkStart w:id="36" w:name="_Toc31579"/>
      <w:bookmarkStart w:id="37" w:name="_Toc9001"/>
      <w:bookmarkStart w:id="38" w:name="_Toc24265"/>
      <w:bookmarkStart w:id="39" w:name="_Toc522211116"/>
      <w:bookmarkStart w:id="40" w:name="_Toc1719522"/>
      <w:bookmarkStart w:id="41" w:name="_Toc9837"/>
      <w:bookmarkStart w:id="42" w:name="_Toc8567"/>
      <w:r>
        <w:rPr>
          <w:rFonts w:hint="eastAsia" w:cs="仿宋"/>
          <w:sz w:val="28"/>
          <w:szCs w:val="28"/>
        </w:rPr>
        <w:t>1.自然环境和施工条件</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C174C1B">
      <w:pPr>
        <w:ind w:firstLine="640"/>
        <w:rPr>
          <w:rFonts w:cs="仿宋"/>
          <w:sz w:val="28"/>
          <w:szCs w:val="28"/>
        </w:rPr>
      </w:pPr>
      <w:r>
        <w:rPr>
          <w:rFonts w:hint="eastAsia" w:cs="仿宋"/>
          <w:sz w:val="28"/>
          <w:szCs w:val="28"/>
        </w:rPr>
        <w:t>风险识别：自然环境和施工条件风险主要是指恶劣的自然条件，恶劣的气候和环境，恶劣的现场条件以及不利的地理环境等。项目存在因自然环境和施工条件的因素而形成的风险，如地震，风暴，异常恶劣的雨、雪、冰冻天气等；未能预测到的特殊地质条件，如泥石流、河塘、流沙、泉眼等；恶劣的施工现场条件或考古文物保护等都会造成工期的拖延和财产的损失。</w:t>
      </w:r>
    </w:p>
    <w:p w14:paraId="1060E045">
      <w:pPr>
        <w:ind w:firstLine="640"/>
        <w:rPr>
          <w:rFonts w:cs="仿宋"/>
          <w:sz w:val="28"/>
          <w:szCs w:val="28"/>
        </w:rPr>
      </w:pPr>
      <w:r>
        <w:rPr>
          <w:rFonts w:hint="eastAsia" w:cs="仿宋"/>
          <w:sz w:val="28"/>
          <w:szCs w:val="28"/>
        </w:rPr>
        <w:t>风险控制措施：由自然环境和施工条件造成的风险最好的控制措施是通过购买保险等方式进行风险转移，风险转移是向保险公司投保，将项目部分风险损失转移给保险公司承担，本项目在建设期按照国家规定强制购买工程一切险，本项目保险费已按规定计入项目总投资其它建设费用类。</w:t>
      </w:r>
    </w:p>
    <w:p w14:paraId="256874BF">
      <w:pPr>
        <w:ind w:firstLine="640"/>
        <w:outlineLvl w:val="1"/>
        <w:rPr>
          <w:rFonts w:cs="仿宋"/>
          <w:sz w:val="28"/>
          <w:szCs w:val="28"/>
        </w:rPr>
      </w:pPr>
      <w:bookmarkStart w:id="43" w:name="_Toc522211117"/>
      <w:bookmarkStart w:id="44" w:name="_Toc8987"/>
      <w:bookmarkStart w:id="45" w:name="_Toc20209"/>
      <w:bookmarkStart w:id="46" w:name="_Toc27268"/>
      <w:bookmarkStart w:id="47" w:name="_Toc23366"/>
      <w:bookmarkStart w:id="48" w:name="_Toc1902"/>
      <w:bookmarkStart w:id="49" w:name="_Toc1719523"/>
      <w:bookmarkStart w:id="50" w:name="_Toc523481581"/>
      <w:bookmarkStart w:id="51" w:name="_Toc4753"/>
      <w:bookmarkStart w:id="52" w:name="_Toc4903"/>
      <w:bookmarkStart w:id="53" w:name="_Toc8314"/>
      <w:bookmarkStart w:id="54" w:name="_Toc19820"/>
      <w:bookmarkStart w:id="55" w:name="_Toc3884"/>
      <w:bookmarkStart w:id="56" w:name="_Toc9961"/>
      <w:bookmarkStart w:id="57" w:name="_Toc9730"/>
      <w:bookmarkStart w:id="58" w:name="_Toc5424"/>
      <w:bookmarkStart w:id="59" w:name="_Toc11694"/>
      <w:bookmarkStart w:id="60" w:name="_Toc17546588"/>
      <w:bookmarkStart w:id="61" w:name="_Toc533440374"/>
      <w:r>
        <w:rPr>
          <w:rFonts w:hint="eastAsia" w:cs="仿宋"/>
          <w:sz w:val="28"/>
          <w:szCs w:val="28"/>
        </w:rPr>
        <w:t>2.来源于施工方的风险因素</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82BEA2B">
      <w:pPr>
        <w:ind w:firstLine="640"/>
        <w:rPr>
          <w:rFonts w:cs="仿宋"/>
          <w:sz w:val="28"/>
          <w:szCs w:val="28"/>
        </w:rPr>
      </w:pPr>
      <w:r>
        <w:rPr>
          <w:rFonts w:hint="eastAsia" w:cs="仿宋"/>
          <w:sz w:val="28"/>
          <w:szCs w:val="28"/>
        </w:rPr>
        <w:t>风险识别：施工方的风险因素主要由施工技术不当、管理方案不完善导致。管理者及工程人员的水平和工作态度的影响；施工管理不善、发包方、承包方、监理方不行形成高效的合作机制；建筑原材料、成品、半成品质量的影响；施工所采用的技术方案、工艺流程、管理组织措施的影响。</w:t>
      </w:r>
    </w:p>
    <w:p w14:paraId="050DBB15">
      <w:pPr>
        <w:ind w:firstLine="640"/>
        <w:rPr>
          <w:rFonts w:cs="仿宋"/>
          <w:sz w:val="28"/>
          <w:szCs w:val="28"/>
        </w:rPr>
      </w:pPr>
      <w:r>
        <w:rPr>
          <w:rFonts w:hint="eastAsia" w:cs="仿宋"/>
          <w:sz w:val="28"/>
          <w:szCs w:val="28"/>
        </w:rPr>
        <w:t>风险控制措施：在招标和工程实施中应确保相关人员的素质和水平，特别是设计负责人和专业负责人、总监理工程师、施工项目经理、业主代表及各类管理人员。对建筑原材料（如水泥、砂石、钢材，机械设备、电线电缆、管材以及其它成品、半成品等），必须严格从招标、签定合同、出厂合格证、进场检测、现场保管、安装调试、工程验收等各个环节把好关，杜绝不合格产品和材料用于工程建设。</w:t>
      </w:r>
    </w:p>
    <w:p w14:paraId="6A26F6C9">
      <w:pPr>
        <w:ind w:firstLine="640"/>
        <w:outlineLvl w:val="1"/>
        <w:rPr>
          <w:rFonts w:cs="仿宋"/>
          <w:sz w:val="28"/>
          <w:szCs w:val="28"/>
        </w:rPr>
      </w:pPr>
      <w:bookmarkStart w:id="62" w:name="_Toc8590"/>
      <w:bookmarkStart w:id="63" w:name="_Toc523481582"/>
      <w:bookmarkStart w:id="64" w:name="_Toc28355"/>
      <w:bookmarkStart w:id="65" w:name="_Toc20569"/>
      <w:bookmarkStart w:id="66" w:name="_Toc533440375"/>
      <w:bookmarkStart w:id="67" w:name="_Toc20901"/>
      <w:bookmarkStart w:id="68" w:name="_Toc16602"/>
      <w:bookmarkStart w:id="69" w:name="_Toc29272"/>
      <w:bookmarkStart w:id="70" w:name="_Toc4267"/>
      <w:bookmarkStart w:id="71" w:name="_Toc522211118"/>
      <w:bookmarkStart w:id="72" w:name="_Toc9158"/>
      <w:bookmarkStart w:id="73" w:name="_Toc26119"/>
      <w:bookmarkStart w:id="74" w:name="_Toc32054"/>
      <w:bookmarkStart w:id="75" w:name="_Toc3244"/>
      <w:bookmarkStart w:id="76" w:name="_Toc1719524"/>
      <w:bookmarkStart w:id="77" w:name="_Toc19050"/>
      <w:bookmarkStart w:id="78" w:name="_Toc6172"/>
      <w:bookmarkStart w:id="79" w:name="_Toc17546589"/>
      <w:bookmarkStart w:id="80" w:name="_Toc6870"/>
      <w:r>
        <w:rPr>
          <w:rFonts w:hint="eastAsia" w:cs="仿宋"/>
          <w:sz w:val="28"/>
          <w:szCs w:val="28"/>
        </w:rPr>
        <w:t>3.来源于设计单位的风险因素</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59DDF09">
      <w:pPr>
        <w:ind w:firstLine="640"/>
        <w:rPr>
          <w:rFonts w:cs="仿宋"/>
          <w:sz w:val="28"/>
          <w:szCs w:val="28"/>
        </w:rPr>
      </w:pPr>
      <w:r>
        <w:rPr>
          <w:rFonts w:hint="eastAsia" w:cs="仿宋"/>
          <w:sz w:val="28"/>
          <w:szCs w:val="28"/>
        </w:rPr>
        <w:t>风险识别：设计风险主要体现在设计质量、设计变更两个方面。设计质量风险，因设计单位水平不足，导致项目设计不合理，技术方案表达不充分，质量达不到国家相关规范标准要求，或评审、验证不够充分，导致设计缺陷；设计变更会影响施工安排，会导致施工进度延误，造成承包人工期推延和经济损失。</w:t>
      </w:r>
    </w:p>
    <w:p w14:paraId="069E523F">
      <w:pPr>
        <w:ind w:firstLine="640"/>
        <w:rPr>
          <w:rFonts w:cs="仿宋"/>
          <w:sz w:val="28"/>
          <w:szCs w:val="28"/>
        </w:rPr>
      </w:pPr>
      <w:r>
        <w:rPr>
          <w:rFonts w:hint="eastAsia" w:cs="仿宋"/>
          <w:sz w:val="28"/>
          <w:szCs w:val="28"/>
        </w:rPr>
        <w:t>风险控制措施：应拟订规划设计大纲，明确设计质量标准。在设计阶段，设计单位因充分了解项目情况，勘察仔细，因地制宜，评估到位，设计合理、规范满足国家规范、标准，评审环节充分验证、符合仔细，保证设计质量。阶段设计完成后，应进行全面审核，内容包括计划投资、方案比选、文件规范、结构安全、工艺先进性、技术合理性、施工可行性。提交施工图后及时报送进行施工图审查、设计交底和图纸会审。施工中派驻设计代表，明确责任到位，参加防线、验槽、隐蔽工程验收、单项和总体工程验收等，负责现场解决设计技术问题。对设计变更，尽量提前实现，尽可能把设计变更控制在设计阶段初期，特别是对影响工程造价的重大设计变更，更要用先算账后变更的办法解决，使工程造价得到解决有效控制，同时保证施工进度。</w:t>
      </w:r>
    </w:p>
    <w:p w14:paraId="4D19A2FD">
      <w:pPr>
        <w:ind w:firstLine="640"/>
        <w:outlineLvl w:val="1"/>
        <w:rPr>
          <w:rFonts w:cs="仿宋"/>
          <w:sz w:val="28"/>
          <w:szCs w:val="28"/>
        </w:rPr>
      </w:pPr>
      <w:bookmarkStart w:id="81" w:name="_Toc9854"/>
      <w:bookmarkStart w:id="82" w:name="_Toc12405"/>
      <w:bookmarkStart w:id="83" w:name="_Toc10613"/>
      <w:bookmarkStart w:id="84" w:name="_Toc6360"/>
      <w:bookmarkStart w:id="85" w:name="_Toc865"/>
      <w:bookmarkStart w:id="86" w:name="_Toc19097"/>
      <w:bookmarkStart w:id="87" w:name="_Toc14970"/>
      <w:bookmarkStart w:id="88" w:name="_Toc6452"/>
      <w:bookmarkStart w:id="89" w:name="_Toc533440376"/>
      <w:bookmarkStart w:id="90" w:name="_Toc1719525"/>
      <w:bookmarkStart w:id="91" w:name="_Toc17264"/>
      <w:bookmarkStart w:id="92" w:name="_Toc3278"/>
      <w:bookmarkStart w:id="93" w:name="_Toc15109"/>
      <w:bookmarkStart w:id="94" w:name="_Toc17546590"/>
      <w:bookmarkStart w:id="95" w:name="_Toc24646"/>
      <w:bookmarkStart w:id="96" w:name="_Toc522211119"/>
      <w:bookmarkStart w:id="97" w:name="_Toc4485"/>
      <w:bookmarkStart w:id="98" w:name="_Toc20711"/>
      <w:bookmarkStart w:id="99" w:name="_Toc523481583"/>
      <w:r>
        <w:rPr>
          <w:rFonts w:hint="eastAsia" w:cs="仿宋"/>
          <w:sz w:val="28"/>
          <w:szCs w:val="28"/>
        </w:rPr>
        <w:t>4.来源于供应商的风险因素</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06B424">
      <w:pPr>
        <w:ind w:firstLine="640"/>
        <w:rPr>
          <w:rFonts w:cs="仿宋"/>
          <w:sz w:val="28"/>
          <w:szCs w:val="28"/>
        </w:rPr>
      </w:pPr>
      <w:r>
        <w:rPr>
          <w:rFonts w:hint="eastAsia" w:cs="仿宋"/>
          <w:sz w:val="28"/>
          <w:szCs w:val="28"/>
        </w:rPr>
        <w:t>风险识别：来源于供应商的风险因素包括选择供应商不当，供应商自担风险的能力较低，劳动力市场、材料市场、设备市场等，这些市场价格的变化，特别是价格的上涨。造成供应商违约，不能按质按量按期完成分包工程，从而影响整个工程的进度或发生经济损失；</w:t>
      </w:r>
    </w:p>
    <w:p w14:paraId="4151B120">
      <w:pPr>
        <w:ind w:firstLine="640"/>
        <w:rPr>
          <w:rFonts w:cs="仿宋"/>
          <w:sz w:val="28"/>
          <w:szCs w:val="28"/>
        </w:rPr>
      </w:pPr>
      <w:r>
        <w:rPr>
          <w:rFonts w:hint="eastAsia" w:cs="仿宋"/>
          <w:sz w:val="28"/>
          <w:szCs w:val="28"/>
        </w:rPr>
        <w:t>风险控制措施：项目在选择供应商时，应选择信誉好、实力强、自担风险能力较高的供应商，或设置合理的调价机制，对价格上涨风情况进行一定的调价约定，降低供应商违约风险。同时可以通过收取履约保证金的方式，降低违约风险。</w:t>
      </w:r>
    </w:p>
    <w:p w14:paraId="74659E0D">
      <w:pPr>
        <w:ind w:firstLine="640"/>
        <w:outlineLvl w:val="1"/>
        <w:rPr>
          <w:rFonts w:cs="仿宋"/>
          <w:sz w:val="28"/>
          <w:szCs w:val="28"/>
        </w:rPr>
      </w:pPr>
      <w:bookmarkStart w:id="100" w:name="_Toc522211120"/>
      <w:bookmarkStart w:id="101" w:name="_Toc23826"/>
      <w:bookmarkStart w:id="102" w:name="_Toc1719526"/>
      <w:bookmarkStart w:id="103" w:name="_Toc11220"/>
      <w:bookmarkStart w:id="104" w:name="_Toc24197"/>
      <w:bookmarkStart w:id="105" w:name="_Toc17018"/>
      <w:bookmarkStart w:id="106" w:name="_Toc523481584"/>
      <w:bookmarkStart w:id="107" w:name="_Toc14916"/>
      <w:bookmarkStart w:id="108" w:name="_Toc30520"/>
      <w:bookmarkStart w:id="109" w:name="_Toc17686"/>
      <w:bookmarkStart w:id="110" w:name="_Toc3246"/>
      <w:bookmarkStart w:id="111" w:name="_Toc17546591"/>
      <w:bookmarkStart w:id="112" w:name="_Toc19736"/>
      <w:bookmarkStart w:id="113" w:name="_Toc15152"/>
      <w:bookmarkStart w:id="114" w:name="_Toc917"/>
      <w:bookmarkStart w:id="115" w:name="_Toc533440377"/>
      <w:bookmarkStart w:id="116" w:name="_Toc24695"/>
      <w:bookmarkStart w:id="117" w:name="_Toc4257"/>
      <w:bookmarkStart w:id="118" w:name="_Toc6631"/>
      <w:r>
        <w:rPr>
          <w:rFonts w:hint="eastAsia" w:cs="仿宋"/>
          <w:sz w:val="28"/>
          <w:szCs w:val="28"/>
        </w:rPr>
        <w:t>5.资金落实情况</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6EF6A19">
      <w:pPr>
        <w:ind w:firstLine="640"/>
        <w:rPr>
          <w:rFonts w:cs="仿宋"/>
          <w:sz w:val="28"/>
          <w:szCs w:val="28"/>
        </w:rPr>
      </w:pPr>
      <w:r>
        <w:rPr>
          <w:rFonts w:hint="eastAsia" w:cs="仿宋"/>
          <w:sz w:val="28"/>
          <w:szCs w:val="28"/>
        </w:rPr>
        <w:t>风险识别：资金落实风险主要是因融资、拨款等环节的各种客、主观原因，资金不能及时到位，导致项目建设停工或拖延；或是利率变化导致融资成本升高而形成的。</w:t>
      </w:r>
    </w:p>
    <w:p w14:paraId="5CA7607B">
      <w:pPr>
        <w:ind w:firstLine="640"/>
        <w:rPr>
          <w:rFonts w:cs="仿宋"/>
          <w:sz w:val="28"/>
          <w:szCs w:val="28"/>
        </w:rPr>
      </w:pPr>
      <w:r>
        <w:rPr>
          <w:rFonts w:hint="eastAsia" w:cs="仿宋"/>
          <w:sz w:val="28"/>
          <w:szCs w:val="28"/>
        </w:rPr>
        <w:t>风险控制措施：建议项目可以拓展各种融资渠道，准确把握国家宏观经济政策、国家及地方产业发展政策，充分利用有利条件，在其变化时及时调整策略。加强对项目的资金管理，落实建设资金，保证工程按期完工。</w:t>
      </w:r>
    </w:p>
    <w:p w14:paraId="52E4750C">
      <w:pPr>
        <w:ind w:firstLine="640"/>
        <w:outlineLvl w:val="1"/>
        <w:rPr>
          <w:rFonts w:cs="仿宋"/>
          <w:sz w:val="28"/>
          <w:szCs w:val="28"/>
        </w:rPr>
      </w:pPr>
      <w:bookmarkStart w:id="119" w:name="_Toc533440378"/>
      <w:bookmarkStart w:id="120" w:name="_Toc21095"/>
      <w:bookmarkStart w:id="121" w:name="_Toc27123"/>
      <w:bookmarkStart w:id="122" w:name="_Toc32413"/>
      <w:bookmarkStart w:id="123" w:name="_Toc2792"/>
      <w:bookmarkStart w:id="124" w:name="_Toc25838"/>
      <w:bookmarkStart w:id="125" w:name="_Toc2256"/>
      <w:bookmarkStart w:id="126" w:name="_Toc17546592"/>
      <w:bookmarkStart w:id="127" w:name="_Toc1406"/>
      <w:bookmarkStart w:id="128" w:name="_Toc16315"/>
      <w:bookmarkStart w:id="129" w:name="_Toc522211121"/>
      <w:bookmarkStart w:id="130" w:name="_Toc29925"/>
      <w:bookmarkStart w:id="131" w:name="_Toc24179"/>
      <w:bookmarkStart w:id="132" w:name="_Toc523481585"/>
      <w:bookmarkStart w:id="133" w:name="_Toc3287"/>
      <w:bookmarkStart w:id="134" w:name="_Toc11056"/>
      <w:bookmarkStart w:id="135" w:name="_Toc1719527"/>
      <w:bookmarkStart w:id="136" w:name="_Toc19503"/>
      <w:bookmarkStart w:id="137" w:name="_Toc21427"/>
      <w:r>
        <w:rPr>
          <w:rFonts w:hint="eastAsia" w:cs="仿宋"/>
          <w:sz w:val="28"/>
          <w:szCs w:val="28"/>
        </w:rPr>
        <w:t>6.工程事故</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C06F42A">
      <w:pPr>
        <w:ind w:firstLine="640"/>
        <w:rPr>
          <w:rFonts w:cs="仿宋"/>
          <w:sz w:val="28"/>
          <w:szCs w:val="28"/>
        </w:rPr>
      </w:pPr>
      <w:r>
        <w:rPr>
          <w:rFonts w:hint="eastAsia" w:cs="仿宋"/>
          <w:sz w:val="28"/>
          <w:szCs w:val="28"/>
        </w:rPr>
        <w:t>风险识别：工程事故风险主要存在于施工过程中，施工中人的不安全行为、物的不安全状态、作业环境的不安全因素和管理缺陷是项目发生工程事故的主要原因，必须采取有针对性的控制措施。</w:t>
      </w:r>
    </w:p>
    <w:p w14:paraId="6B12035A">
      <w:pPr>
        <w:ind w:firstLine="640"/>
        <w:rPr>
          <w:rFonts w:cs="仿宋"/>
          <w:sz w:val="28"/>
          <w:szCs w:val="28"/>
        </w:rPr>
      </w:pPr>
      <w:r>
        <w:rPr>
          <w:rFonts w:hint="eastAsia" w:cs="仿宋"/>
          <w:sz w:val="28"/>
          <w:szCs w:val="28"/>
        </w:rPr>
        <w:t>风险控制措施：工程事故问题是建设工程项目的核心问题，存在较大风险。在项目前期招标过程中，选定设计、监理、施工、设备材料供应商时，应把安全和防止质量事故作为重要因素考虑。在审查相关单位设计文件、监理实施细则、施工组织设计、设备招标文件以及签订合同时都应给予足够重视。项目建设期间，必须在安全危险源识别、评估基础上，编制施工组织设计和施工方案，制定安全技术措施和施工现场临时用电方案；对危险性较大分部分项工程，编制专项安全施工方案。应派驻经验丰富的甲方代表加强该方面工作，遇到质量、安全隐患及时提出整改要求。</w:t>
      </w:r>
    </w:p>
    <w:p w14:paraId="70599504">
      <w:pPr>
        <w:spacing w:before="240" w:after="120"/>
        <w:ind w:firstLine="643"/>
        <w:outlineLvl w:val="0"/>
        <w:rPr>
          <w:rFonts w:cs="仿宋"/>
          <w:b/>
          <w:bCs/>
          <w:sz w:val="28"/>
          <w:szCs w:val="28"/>
        </w:rPr>
      </w:pPr>
      <w:r>
        <w:rPr>
          <w:rFonts w:hint="eastAsia" w:cs="仿宋"/>
          <w:b/>
          <w:bCs/>
          <w:sz w:val="28"/>
          <w:szCs w:val="28"/>
        </w:rPr>
        <w:t>七、还款保障情况</w:t>
      </w:r>
    </w:p>
    <w:p w14:paraId="34964690">
      <w:pPr>
        <w:ind w:firstLine="640"/>
        <w:rPr>
          <w:sz w:val="28"/>
          <w:szCs w:val="28"/>
        </w:rPr>
      </w:pPr>
      <w:r>
        <w:rPr>
          <w:rFonts w:hint="eastAsia"/>
          <w:sz w:val="28"/>
          <w:szCs w:val="28"/>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17A7DDA0">
      <w:pPr>
        <w:spacing w:before="240" w:after="120"/>
        <w:ind w:firstLine="643"/>
        <w:outlineLvl w:val="0"/>
        <w:rPr>
          <w:rFonts w:cs="仿宋"/>
          <w:b/>
          <w:bCs/>
          <w:sz w:val="28"/>
          <w:szCs w:val="28"/>
        </w:rPr>
      </w:pPr>
      <w:r>
        <w:rPr>
          <w:rFonts w:hint="eastAsia" w:cs="仿宋"/>
          <w:b/>
          <w:bCs/>
          <w:sz w:val="28"/>
          <w:szCs w:val="28"/>
        </w:rPr>
        <w:t>八、主管部门职责</w:t>
      </w:r>
    </w:p>
    <w:p w14:paraId="0A566470">
      <w:pPr>
        <w:ind w:firstLine="640"/>
        <w:rPr>
          <w:rFonts w:cs="仿宋"/>
          <w:sz w:val="28"/>
          <w:szCs w:val="28"/>
        </w:rPr>
      </w:pPr>
      <w:r>
        <w:rPr>
          <w:rFonts w:hint="eastAsia" w:cs="仿宋"/>
          <w:sz w:val="28"/>
          <w:szCs w:val="28"/>
        </w:rPr>
        <w:t>本项目主管部门为</w:t>
      </w:r>
      <w:r>
        <w:rPr>
          <w:rFonts w:hint="eastAsia" w:cs="仿宋"/>
          <w:color w:val="auto"/>
          <w:sz w:val="28"/>
          <w:szCs w:val="28"/>
          <w:lang w:eastAsia="zh-CN"/>
        </w:rPr>
        <w:t>内江市东兴区农业农村局</w:t>
      </w:r>
      <w:r>
        <w:rPr>
          <w:rFonts w:hint="eastAsia" w:cs="仿宋"/>
          <w:sz w:val="28"/>
          <w:szCs w:val="28"/>
        </w:rPr>
        <w:t>，职责为负责对本部门专项债券项目审核把关。指导本行业项目规划与储备、梳理项目需求和编制项目实施方案。指导本行业及时规范使用债券资金，对建设运营情况进行监督，并统筹协调相关部门保障项目建设进度，如期实现项目收入。主管部门协同财政部门将项目收益专项债券对应项目形成的资产纳入国有资产管理，加强资产</w:t>
      </w:r>
      <w:bookmarkStart w:id="138" w:name="_GoBack"/>
      <w:bookmarkEnd w:id="138"/>
      <w:r>
        <w:rPr>
          <w:rFonts w:hint="eastAsia" w:cs="仿宋"/>
          <w:sz w:val="28"/>
          <w:szCs w:val="28"/>
        </w:rPr>
        <w:t>日常统计和动态监控。</w:t>
      </w:r>
    </w:p>
    <w:p w14:paraId="47BF343E">
      <w:pPr>
        <w:ind w:firstLine="640"/>
        <w:rPr>
          <w:rFonts w:cs="仿宋"/>
          <w:sz w:val="28"/>
          <w:szCs w:val="28"/>
        </w:rPr>
      </w:pPr>
      <w:r>
        <w:rPr>
          <w:rFonts w:hint="eastAsia" w:cs="仿宋"/>
          <w:sz w:val="28"/>
          <w:szCs w:val="28"/>
        </w:rPr>
        <w:t>本项目的项目单位为</w:t>
      </w:r>
      <w:r>
        <w:rPr>
          <w:rFonts w:hint="eastAsia" w:cs="仿宋"/>
          <w:color w:val="auto"/>
          <w:sz w:val="28"/>
          <w:szCs w:val="28"/>
          <w:lang w:eastAsia="zh-CN"/>
        </w:rPr>
        <w:t>内江人和国有资产经营有限责任公司</w:t>
      </w:r>
      <w:r>
        <w:rPr>
          <w:rFonts w:hint="eastAsia" w:cs="仿宋"/>
          <w:sz w:val="28"/>
          <w:szCs w:val="28"/>
        </w:rPr>
        <w:t>，职责为负责提出本项目需求申请，编制报送项目实施方案及相关资料，配合做好债券发行准备。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项目单位对专项债券资金收入和支出、对应项目形成的收入和支出进行专账核算，准确反映资金的收支情况。项目单位应当单独开设账户，用于专项债券资金、项目资本金、项目收入、还本付息等资金监管。协同财政部门将项目收益专项债券对应项目形成的资产纳入国有资产管理，加强资产日常统计和动态监控。</w:t>
      </w:r>
    </w:p>
    <w:p w14:paraId="44311405">
      <w:pPr>
        <w:numPr>
          <w:ilvl w:val="0"/>
          <w:numId w:val="2"/>
        </w:numPr>
        <w:spacing w:before="240" w:after="120"/>
        <w:ind w:firstLine="643"/>
        <w:outlineLvl w:val="0"/>
        <w:rPr>
          <w:rFonts w:cs="仿宋"/>
          <w:b/>
          <w:bCs/>
          <w:sz w:val="28"/>
          <w:szCs w:val="28"/>
        </w:rPr>
      </w:pPr>
      <w:r>
        <w:rPr>
          <w:rFonts w:hint="eastAsia" w:cs="仿宋"/>
          <w:b/>
          <w:bCs/>
          <w:sz w:val="28"/>
          <w:szCs w:val="28"/>
        </w:rPr>
        <w:t>补充说明</w:t>
      </w:r>
    </w:p>
    <w:p w14:paraId="4FCD9393">
      <w:pPr>
        <w:ind w:firstLine="640"/>
        <w:rPr>
          <w:rFonts w:hint="eastAsia" w:cs="仿宋"/>
          <w:sz w:val="28"/>
          <w:szCs w:val="28"/>
          <w:highlight w:val="none"/>
        </w:rPr>
      </w:pPr>
      <w:r>
        <w:rPr>
          <w:rFonts w:hint="eastAsia" w:cs="仿宋"/>
          <w:sz w:val="28"/>
          <w:szCs w:val="28"/>
          <w:highlight w:val="none"/>
        </w:rPr>
        <w:t>此项目债券资金总需求</w:t>
      </w:r>
      <w:r>
        <w:rPr>
          <w:rFonts w:hint="eastAsia" w:cs="仿宋"/>
          <w:sz w:val="28"/>
          <w:szCs w:val="28"/>
          <w:highlight w:val="none"/>
          <w:lang w:val="en-US" w:eastAsia="zh-CN"/>
        </w:rPr>
        <w:t>38400</w:t>
      </w:r>
      <w:r>
        <w:rPr>
          <w:rFonts w:hint="eastAsia" w:cs="仿宋"/>
          <w:sz w:val="28"/>
          <w:szCs w:val="28"/>
          <w:highlight w:val="none"/>
        </w:rPr>
        <w:t>万元，根据地方政府债务限额管理要求和项目实施进展情况，20</w:t>
      </w:r>
      <w:r>
        <w:rPr>
          <w:rFonts w:hint="eastAsia" w:cs="仿宋"/>
          <w:sz w:val="28"/>
          <w:szCs w:val="28"/>
          <w:highlight w:val="none"/>
          <w:lang w:val="en-US" w:eastAsia="zh-CN"/>
        </w:rPr>
        <w:t>25</w:t>
      </w:r>
      <w:r>
        <w:rPr>
          <w:rFonts w:hint="eastAsia" w:cs="仿宋"/>
          <w:sz w:val="28"/>
          <w:szCs w:val="28"/>
          <w:highlight w:val="none"/>
        </w:rPr>
        <w:t>年-202</w:t>
      </w:r>
      <w:r>
        <w:rPr>
          <w:rFonts w:hint="eastAsia" w:cs="仿宋"/>
          <w:sz w:val="28"/>
          <w:szCs w:val="28"/>
          <w:highlight w:val="none"/>
          <w:lang w:val="en-US" w:eastAsia="zh-CN"/>
        </w:rPr>
        <w:t>6</w:t>
      </w:r>
      <w:r>
        <w:rPr>
          <w:rFonts w:hint="eastAsia" w:cs="仿宋"/>
          <w:sz w:val="28"/>
          <w:szCs w:val="28"/>
          <w:highlight w:val="none"/>
        </w:rPr>
        <w:t>年已发行</w:t>
      </w:r>
      <w:r>
        <w:rPr>
          <w:rFonts w:hint="eastAsia" w:cs="仿宋"/>
          <w:sz w:val="28"/>
          <w:szCs w:val="28"/>
          <w:highlight w:val="none"/>
          <w:lang w:val="en-US" w:eastAsia="zh-CN"/>
        </w:rPr>
        <w:t>2000</w:t>
      </w:r>
      <w:r>
        <w:rPr>
          <w:rFonts w:hint="eastAsia" w:cs="仿宋"/>
          <w:sz w:val="28"/>
          <w:szCs w:val="28"/>
          <w:highlight w:val="none"/>
        </w:rPr>
        <w:t>万元。本次拟继续发行</w:t>
      </w:r>
      <w:r>
        <w:rPr>
          <w:rFonts w:hint="eastAsia" w:cs="仿宋"/>
          <w:sz w:val="28"/>
          <w:szCs w:val="28"/>
          <w:highlight w:val="none"/>
          <w:lang w:val="en-US" w:eastAsia="zh-CN"/>
        </w:rPr>
        <w:t>500</w:t>
      </w:r>
      <w:r>
        <w:rPr>
          <w:rFonts w:hint="eastAsia" w:cs="仿宋"/>
          <w:sz w:val="28"/>
          <w:szCs w:val="28"/>
          <w:highlight w:val="none"/>
        </w:rPr>
        <w:t>万元，期限</w:t>
      </w:r>
      <w:r>
        <w:rPr>
          <w:rFonts w:hint="eastAsia" w:cs="仿宋"/>
          <w:sz w:val="28"/>
          <w:szCs w:val="28"/>
          <w:highlight w:val="none"/>
          <w:lang w:val="en-US" w:eastAsia="zh-CN"/>
        </w:rPr>
        <w:t>20</w:t>
      </w:r>
      <w:r>
        <w:rPr>
          <w:rFonts w:hint="eastAsia" w:cs="仿宋"/>
          <w:sz w:val="28"/>
          <w:szCs w:val="28"/>
          <w:highlight w:val="none"/>
        </w:rPr>
        <w:t>年。该项目实施内容及收益来源未发生变动，在不超过项目债券总需求情况下，债券分批次跨年发行对项目整体融资平衡不构成实质影响。</w:t>
      </w:r>
    </w:p>
    <w:p w14:paraId="1EB1EE7A">
      <w:pPr>
        <w:ind w:firstLine="640"/>
        <w:rPr>
          <w:rFonts w:cs="仿宋"/>
          <w:sz w:val="28"/>
          <w:szCs w:val="28"/>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2098" w:right="1418" w:bottom="1588" w:left="1644" w:header="851" w:footer="992" w:gutter="0"/>
      <w:pgNumType w:fmt="numberInDash"/>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65A">
      <wne:acd wne:acdName="acd0"/>
    </wne:keymap>
  </wne:keymaps>
  <wne:acds>
    <wne:acd wne:argValue="AQAAAA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Helvetica Neue">
    <w:altName w:val="微软雅黑"/>
    <w:panose1 w:val="00000000000000000000"/>
    <w:charset w:val="00"/>
    <w:family w:val="auto"/>
    <w:pitch w:val="default"/>
    <w:sig w:usb0="00000000" w:usb1="00000000" w:usb2="00000010" w:usb3="00000000" w:csb0="00000001" w:csb1="00000000"/>
  </w:font>
  <w:font w:name="微软雅黑">
    <w:panose1 w:val="020B0503020204020204"/>
    <w:charset w:val="86"/>
    <w:family w:val="auto"/>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auto"/>
    <w:pitch w:val="default"/>
    <w:sig w:usb0="00000000"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宋体 (正文)">
    <w:altName w:val="宋体"/>
    <w:panose1 w:val="00000000000000000000"/>
    <w:charset w:val="00"/>
    <w:family w:val="auto"/>
    <w:pitch w:val="default"/>
    <w:sig w:usb0="00000000" w:usb1="00000000" w:usb2="00000000" w:usb3="00000000" w:csb0="00040001" w:csb1="00000000"/>
  </w:font>
  <w:font w:name="KSOF3D47F291">
    <w:panose1 w:val="020B0604020202020204"/>
    <w:charset w:val="00"/>
    <w:family w:val="auto"/>
    <w:pitch w:val="default"/>
    <w:sig w:usb0="00000001" w:usb1="00000000" w:usb2="00000000" w:usb3="00000000" w:csb0="00000001" w:csb1="00000000"/>
  </w:font>
  <w:font w:name="KSOF0B7949D1">
    <w:panose1 w:val="02010609060101010101"/>
    <w:charset w:val="86"/>
    <w:family w:val="auto"/>
    <w:pitch w:val="default"/>
    <w:sig w:usb0="00000001" w:usb1="00000000" w:usb2="00000000" w:usb3="00000000" w:csb0="00040001" w:csb1="00000000"/>
  </w:font>
  <w:font w:name="KSOF0B79BE30">
    <w:panose1 w:val="02010609060101010101"/>
    <w:charset w:val="86"/>
    <w:family w:val="auto"/>
    <w:pitch w:val="default"/>
    <w:sig w:usb0="00000001" w:usb1="00000000" w:usb2="00000000" w:usb3="00000000" w:csb0="00040001" w:csb1="00000000"/>
  </w:font>
  <w:font w:name="KSOF2C054221">
    <w:panose1 w:val="020B0503020204020204"/>
    <w:charset w:val="00"/>
    <w:family w:val="auto"/>
    <w:pitch w:val="default"/>
    <w:sig w:usb0="00000001"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E2B74">
    <w:pPr>
      <w:pStyle w:val="25"/>
    </w:pPr>
    <w: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joinstyle="miter"/>
          <v:imagedata o:title=""/>
          <o:lock v:ext="edit"/>
          <v:textbox inset="0mm,0mm,0mm,0mm" style="mso-fit-shape-to-text:t;">
            <w:txbxContent>
              <w:p w14:paraId="6582A4D1">
                <w:pPr>
                  <w:snapToGrid w:val="0"/>
                  <w:spacing w:line="360" w:lineRule="auto"/>
                  <w:ind w:firstLine="560"/>
                  <w:rPr>
                    <w:rFonts w:ascii="宋体" w:hAnsi="宋体" w:eastAsia="宋体 (正文)" w:cs="Arial Unicode MS"/>
                    <w:color w:val="000000"/>
                    <w:sz w:val="18"/>
                    <w:szCs w:val="21"/>
                  </w:rPr>
                </w:pPr>
                <w:r>
                  <w:rPr>
                    <w:rFonts w:hint="eastAsia" w:ascii="宋体" w:hAnsi="宋体" w:eastAsia="宋体 (正文)" w:cs="Arial Unicode MS"/>
                    <w:color w:val="000000"/>
                    <w:sz w:val="28"/>
                    <w:szCs w:val="28"/>
                  </w:rPr>
                  <w:fldChar w:fldCharType="begin"/>
                </w:r>
                <w:r>
                  <w:rPr>
                    <w:rFonts w:hint="eastAsia" w:ascii="宋体" w:hAnsi="宋体" w:eastAsia="宋体 (正文)" w:cs="Arial Unicode MS"/>
                    <w:color w:val="000000"/>
                    <w:sz w:val="28"/>
                    <w:szCs w:val="28"/>
                  </w:rPr>
                  <w:instrText xml:space="preserve"> PAGE  \* MERGEFORMAT </w:instrText>
                </w:r>
                <w:r>
                  <w:rPr>
                    <w:rFonts w:hint="eastAsia" w:ascii="宋体" w:hAnsi="宋体" w:eastAsia="宋体 (正文)" w:cs="Arial Unicode MS"/>
                    <w:color w:val="000000"/>
                    <w:sz w:val="28"/>
                    <w:szCs w:val="28"/>
                  </w:rPr>
                  <w:fldChar w:fldCharType="separate"/>
                </w:r>
                <w:r>
                  <w:rPr>
                    <w:rFonts w:ascii="宋体" w:hAnsi="宋体" w:eastAsia="宋体 (正文)" w:cs="Arial Unicode MS"/>
                    <w:color w:val="000000"/>
                    <w:sz w:val="28"/>
                    <w:szCs w:val="28"/>
                  </w:rPr>
                  <w:t>- 16 -</w:t>
                </w:r>
                <w:r>
                  <w:rPr>
                    <w:rFonts w:hint="eastAsia" w:ascii="宋体" w:hAnsi="宋体" w:eastAsia="宋体 (正文)" w:cs="Arial Unicode MS"/>
                    <w:color w:val="000000"/>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D3E3">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577B6">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7D605">
    <w:pPr>
      <w:pStyle w:val="26"/>
      <w:tabs>
        <w:tab w:val="right" w:pos="9000"/>
        <w:tab w:val="clear" w:pos="9020"/>
      </w:tabs>
    </w:pPr>
    <w:r>
      <w:pict>
        <v:shape id="_x0000_s1026" o:spid="_x0000_s1026" o:spt="202" alt="officeArt object" type="#_x0000_t202" style="position:absolute;left:0pt;margin-left:293.1pt;margin-top:774.3pt;height:10.35pt;width:9.05pt;mso-position-horizontal-relative:page;mso-position-vertical-relative:page;z-index:-251656192;mso-width-relative:page;mso-height-relative:page;" filled="f" stroked="f" coordsize="21600,21600" o:gfxdata="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YKnjNoAAAANAQAADwAAAAAAAAABACAA&#10;AAAiAAAAZHJzL2Rvd25yZXYueG1sUEsBAhQAFAAAAAgAh07iQOenbXULAgAACAQAAA4AAAAAAAAA&#10;AQAgAAAAKQEAAGRycy9lMm9Eb2MueG1sUEsFBgAAAAAGAAYAWQEAAKYFAAAAAA==&#10;">
          <v:path/>
          <v:fill on="f" focussize="0,0"/>
          <v:stroke on="f" weight="1pt" miterlimit="4"/>
          <v:imagedata o:title=""/>
          <o:lock v:ext="edit"/>
          <v:textbox inset="0mm,0mm,0mm,0mm">
            <w:txbxContent>
              <w:p w14:paraId="4BFF0CBA">
                <w:pPr>
                  <w:spacing w:line="360" w:lineRule="auto"/>
                  <w:ind w:firstLine="360"/>
                  <w:rPr>
                    <w:rFonts w:ascii="宋体" w:hAnsi="宋体" w:eastAsia="Times New Roman" w:cs="Arial Unicode MS"/>
                    <w:color w:val="000000"/>
                    <w:sz w:val="18"/>
                    <w:szCs w:val="18"/>
                  </w:rPr>
                </w:pPr>
                <w:r>
                  <w:rPr>
                    <w:rFonts w:hint="eastAsia" w:ascii="宋体" w:hAnsi="宋体" w:eastAsia="Times New Roman" w:cs="Arial Unicode MS"/>
                    <w:color w:val="000000"/>
                    <w:sz w:val="18"/>
                    <w:szCs w:val="18"/>
                  </w:rPr>
                  <w:fldChar w:fldCharType="begin"/>
                </w:r>
                <w:r>
                  <w:rPr>
                    <w:rFonts w:hint="eastAsia" w:ascii="宋体" w:hAnsi="宋体" w:eastAsia="Times New Roman" w:cs="Arial Unicode MS"/>
                    <w:color w:val="000000"/>
                    <w:sz w:val="18"/>
                    <w:szCs w:val="18"/>
                  </w:rPr>
                  <w:instrText xml:space="preserve"> PAGE </w:instrText>
                </w:r>
                <w:r>
                  <w:rPr>
                    <w:rFonts w:hint="eastAsia" w:ascii="宋体" w:hAnsi="宋体" w:eastAsia="Times New Roman" w:cs="Arial Unicode MS"/>
                    <w:color w:val="000000"/>
                    <w:sz w:val="18"/>
                    <w:szCs w:val="18"/>
                  </w:rPr>
                  <w:fldChar w:fldCharType="separate"/>
                </w:r>
                <w:r>
                  <w:rPr>
                    <w:rFonts w:ascii="宋体" w:hAnsi="宋体" w:eastAsia="Times New Roman" w:cs="Arial Unicode MS"/>
                    <w:color w:val="000000"/>
                    <w:sz w:val="18"/>
                    <w:szCs w:val="18"/>
                  </w:rPr>
                  <w:t>- 16 -</w:t>
                </w:r>
                <w:r>
                  <w:rPr>
                    <w:rFonts w:hint="eastAsia" w:ascii="宋体" w:hAnsi="宋体" w:eastAsia="Times New Roman" w:cs="Arial Unicode MS"/>
                    <w:color w:val="000000"/>
                    <w:sz w:val="18"/>
                    <w:szCs w:val="18"/>
                  </w:rPr>
                  <w:fldChar w:fldCharType="end"/>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D2834">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A37FC">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9"/>
      <w:numFmt w:val="chineseCounting"/>
      <w:suff w:val="nothing"/>
      <w:lvlText w:val="%1、"/>
      <w:lvlJc w:val="left"/>
    </w:lvl>
  </w:abstractNum>
  <w:abstractNum w:abstractNumId="1">
    <w:nsid w:val="5D7DD30D"/>
    <w:multiLevelType w:val="multilevel"/>
    <w:tmpl w:val="5D7DD30D"/>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Y2MTg0ZjhhZGJjYzUyNGJlOGRmOTdjMjg3MWZjN2MifQ=="/>
  </w:docVars>
  <w:rsids>
    <w:rsidRoot w:val="00172A27"/>
    <w:rsid w:val="000D34BB"/>
    <w:rsid w:val="00172A27"/>
    <w:rsid w:val="002D1099"/>
    <w:rsid w:val="006C5A2F"/>
    <w:rsid w:val="008113F1"/>
    <w:rsid w:val="008B7CF0"/>
    <w:rsid w:val="00914361"/>
    <w:rsid w:val="00F02F21"/>
    <w:rsid w:val="00F3407F"/>
    <w:rsid w:val="013C30B7"/>
    <w:rsid w:val="01A57F36"/>
    <w:rsid w:val="03DA4097"/>
    <w:rsid w:val="04500383"/>
    <w:rsid w:val="046E046D"/>
    <w:rsid w:val="05020F8F"/>
    <w:rsid w:val="054E7429"/>
    <w:rsid w:val="061A3E81"/>
    <w:rsid w:val="06766115"/>
    <w:rsid w:val="076569CD"/>
    <w:rsid w:val="07854B6B"/>
    <w:rsid w:val="08122664"/>
    <w:rsid w:val="08B070E4"/>
    <w:rsid w:val="092A5646"/>
    <w:rsid w:val="09693B96"/>
    <w:rsid w:val="0A17403E"/>
    <w:rsid w:val="0AA566C4"/>
    <w:rsid w:val="0B032BA3"/>
    <w:rsid w:val="0B8471F9"/>
    <w:rsid w:val="0BD274A5"/>
    <w:rsid w:val="0D8E5830"/>
    <w:rsid w:val="0E0042AD"/>
    <w:rsid w:val="0E664872"/>
    <w:rsid w:val="0EEC63DE"/>
    <w:rsid w:val="105D4C8E"/>
    <w:rsid w:val="118738E3"/>
    <w:rsid w:val="11B4619E"/>
    <w:rsid w:val="11D03B9B"/>
    <w:rsid w:val="13712EB0"/>
    <w:rsid w:val="13B36581"/>
    <w:rsid w:val="13EF32B1"/>
    <w:rsid w:val="15B6242D"/>
    <w:rsid w:val="176C2BB7"/>
    <w:rsid w:val="1915445F"/>
    <w:rsid w:val="1DD443CA"/>
    <w:rsid w:val="1DEF2178"/>
    <w:rsid w:val="1EDE1C28"/>
    <w:rsid w:val="1FDB7DB2"/>
    <w:rsid w:val="22FF7A35"/>
    <w:rsid w:val="237C27AE"/>
    <w:rsid w:val="242C2DF9"/>
    <w:rsid w:val="25012038"/>
    <w:rsid w:val="25BA38DC"/>
    <w:rsid w:val="25E75E13"/>
    <w:rsid w:val="26081591"/>
    <w:rsid w:val="2625355A"/>
    <w:rsid w:val="287076C4"/>
    <w:rsid w:val="293F224C"/>
    <w:rsid w:val="29885326"/>
    <w:rsid w:val="29BD454B"/>
    <w:rsid w:val="2ACB1006"/>
    <w:rsid w:val="2BF15CE4"/>
    <w:rsid w:val="2D2836D6"/>
    <w:rsid w:val="309E3D25"/>
    <w:rsid w:val="30C31BD3"/>
    <w:rsid w:val="30DB4718"/>
    <w:rsid w:val="3144344A"/>
    <w:rsid w:val="32F862B4"/>
    <w:rsid w:val="339D76E7"/>
    <w:rsid w:val="34403A44"/>
    <w:rsid w:val="357238F7"/>
    <w:rsid w:val="37E259E0"/>
    <w:rsid w:val="380053AA"/>
    <w:rsid w:val="381A1632"/>
    <w:rsid w:val="38C22508"/>
    <w:rsid w:val="393D1514"/>
    <w:rsid w:val="39D72345"/>
    <w:rsid w:val="3A0C2CBB"/>
    <w:rsid w:val="3A2105C2"/>
    <w:rsid w:val="3AB07FCD"/>
    <w:rsid w:val="3C3C57EA"/>
    <w:rsid w:val="3C8F3AAB"/>
    <w:rsid w:val="3D7B1B13"/>
    <w:rsid w:val="3D9B595E"/>
    <w:rsid w:val="3FE41F12"/>
    <w:rsid w:val="40DF3AA2"/>
    <w:rsid w:val="40DF7EE7"/>
    <w:rsid w:val="42B753BE"/>
    <w:rsid w:val="430D1C8A"/>
    <w:rsid w:val="43980DB3"/>
    <w:rsid w:val="44A4744F"/>
    <w:rsid w:val="44AF6B13"/>
    <w:rsid w:val="464C48A9"/>
    <w:rsid w:val="47653A42"/>
    <w:rsid w:val="47C6684B"/>
    <w:rsid w:val="48C3324F"/>
    <w:rsid w:val="49DA272C"/>
    <w:rsid w:val="49E51B21"/>
    <w:rsid w:val="4A994EE3"/>
    <w:rsid w:val="4B94424A"/>
    <w:rsid w:val="4BB501E6"/>
    <w:rsid w:val="4BB7159E"/>
    <w:rsid w:val="4C0E74D6"/>
    <w:rsid w:val="4C1662EE"/>
    <w:rsid w:val="4DEE1375"/>
    <w:rsid w:val="4F3A188D"/>
    <w:rsid w:val="4FAE3E40"/>
    <w:rsid w:val="4FE3537B"/>
    <w:rsid w:val="510475F3"/>
    <w:rsid w:val="51714D0B"/>
    <w:rsid w:val="51AB250E"/>
    <w:rsid w:val="52AA0445"/>
    <w:rsid w:val="55E2376A"/>
    <w:rsid w:val="55F16B82"/>
    <w:rsid w:val="577446E9"/>
    <w:rsid w:val="57B94B8F"/>
    <w:rsid w:val="57E32249"/>
    <w:rsid w:val="58414118"/>
    <w:rsid w:val="58BA3515"/>
    <w:rsid w:val="593E5EF4"/>
    <w:rsid w:val="5AC52BAD"/>
    <w:rsid w:val="5AD54B55"/>
    <w:rsid w:val="5CD207B0"/>
    <w:rsid w:val="5D696CF0"/>
    <w:rsid w:val="5D941A1D"/>
    <w:rsid w:val="5F033932"/>
    <w:rsid w:val="61271BBA"/>
    <w:rsid w:val="617B0487"/>
    <w:rsid w:val="629C2BE7"/>
    <w:rsid w:val="63CC759F"/>
    <w:rsid w:val="66060C05"/>
    <w:rsid w:val="665F3E6D"/>
    <w:rsid w:val="66F4651A"/>
    <w:rsid w:val="66FD0891"/>
    <w:rsid w:val="67DD3F80"/>
    <w:rsid w:val="68180706"/>
    <w:rsid w:val="683E54BC"/>
    <w:rsid w:val="693F5CD2"/>
    <w:rsid w:val="6A26501D"/>
    <w:rsid w:val="6A7E6E7B"/>
    <w:rsid w:val="6BB30CF6"/>
    <w:rsid w:val="6C382AE1"/>
    <w:rsid w:val="6C8A1C80"/>
    <w:rsid w:val="6DDE2AF6"/>
    <w:rsid w:val="6E1813C4"/>
    <w:rsid w:val="6E55356F"/>
    <w:rsid w:val="6F314AB7"/>
    <w:rsid w:val="70265F46"/>
    <w:rsid w:val="703640B3"/>
    <w:rsid w:val="7051605B"/>
    <w:rsid w:val="7088025C"/>
    <w:rsid w:val="70B86135"/>
    <w:rsid w:val="721C38B7"/>
    <w:rsid w:val="7406244E"/>
    <w:rsid w:val="75110D85"/>
    <w:rsid w:val="759E3B4B"/>
    <w:rsid w:val="763804AD"/>
    <w:rsid w:val="77031528"/>
    <w:rsid w:val="774772DB"/>
    <w:rsid w:val="77E94330"/>
    <w:rsid w:val="7831551C"/>
    <w:rsid w:val="794E06BE"/>
    <w:rsid w:val="79EF0252"/>
    <w:rsid w:val="7B111800"/>
    <w:rsid w:val="7B982BE8"/>
    <w:rsid w:val="7BBE38CE"/>
    <w:rsid w:val="7C3F5FBA"/>
    <w:rsid w:val="7CFF4D43"/>
    <w:rsid w:val="7D381B0F"/>
    <w:rsid w:val="7E2D1FB9"/>
    <w:rsid w:val="7EB371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仿宋" w:hAnsi="仿宋" w:eastAsia="仿宋" w:cstheme="minorBidi"/>
      <w:kern w:val="2"/>
      <w:sz w:val="32"/>
      <w:szCs w:val="22"/>
      <w:lang w:val="en-US" w:eastAsia="zh-CN" w:bidi="ar-SA"/>
    </w:rPr>
  </w:style>
  <w:style w:type="paragraph" w:styleId="2">
    <w:name w:val="heading 1"/>
    <w:basedOn w:val="1"/>
    <w:next w:val="1"/>
    <w:link w:val="24"/>
    <w:qFormat/>
    <w:uiPriority w:val="0"/>
    <w:pPr>
      <w:spacing w:beforeLines="100" w:line="480" w:lineRule="auto"/>
      <w:ind w:firstLine="0" w:firstLineChars="0"/>
      <w:outlineLvl w:val="0"/>
    </w:pPr>
    <w:rPr>
      <w:rFonts w:eastAsia="宋体"/>
      <w:b/>
      <w:bCs/>
      <w:sz w:val="40"/>
      <w:szCs w:val="32"/>
    </w:rPr>
  </w:style>
  <w:style w:type="paragraph" w:styleId="3">
    <w:name w:val="heading 2"/>
    <w:basedOn w:val="1"/>
    <w:next w:val="1"/>
    <w:link w:val="23"/>
    <w:unhideWhenUsed/>
    <w:qFormat/>
    <w:uiPriority w:val="0"/>
    <w:pPr>
      <w:adjustRightInd w:val="0"/>
      <w:snapToGrid w:val="0"/>
      <w:spacing w:beforeLines="88" w:afterLines="88"/>
      <w:ind w:firstLine="0" w:firstLineChars="0"/>
      <w:outlineLvl w:val="1"/>
    </w:pPr>
    <w:rPr>
      <w:rFonts w:eastAsia="宋体" w:cs="Times New Roman" w:asciiTheme="minorHAnsi" w:hAnsiTheme="minorHAnsi"/>
      <w:b/>
      <w:sz w:val="36"/>
      <w:szCs w:val="20"/>
      <w:lang w:val="en-GB"/>
    </w:rPr>
  </w:style>
  <w:style w:type="paragraph" w:styleId="4">
    <w:name w:val="heading 3"/>
    <w:basedOn w:val="1"/>
    <w:next w:val="1"/>
    <w:link w:val="22"/>
    <w:unhideWhenUsed/>
    <w:qFormat/>
    <w:uiPriority w:val="0"/>
    <w:pPr>
      <w:keepNext/>
      <w:keepLines/>
      <w:tabs>
        <w:tab w:val="left" w:pos="0"/>
      </w:tabs>
      <w:spacing w:before="50" w:after="50"/>
      <w:outlineLvl w:val="2"/>
    </w:pPr>
    <w:rPr>
      <w:rFonts w:ascii="宋体" w:hAnsi="宋体" w:eastAsia="宋体" w:cs="Times New Roman"/>
      <w:b/>
      <w:szCs w:val="32"/>
    </w:rPr>
  </w:style>
  <w:style w:type="paragraph" w:styleId="5">
    <w:name w:val="heading 4"/>
    <w:basedOn w:val="1"/>
    <w:next w:val="1"/>
    <w:unhideWhenUsed/>
    <w:qFormat/>
    <w:uiPriority w:val="0"/>
    <w:pPr>
      <w:keepNext/>
      <w:keepLines/>
      <w:numPr>
        <w:ilvl w:val="3"/>
        <w:numId w:val="1"/>
      </w:numPr>
      <w:spacing w:line="372" w:lineRule="auto"/>
      <w:outlineLvl w:val="3"/>
    </w:pPr>
    <w:rPr>
      <w:rFonts w:ascii="Arial" w:hAnsi="Arial" w:eastAsia="黑体"/>
      <w:b/>
      <w:sz w:val="28"/>
    </w:rPr>
  </w:style>
  <w:style w:type="paragraph" w:styleId="6">
    <w:name w:val="heading 5"/>
    <w:basedOn w:val="1"/>
    <w:next w:val="1"/>
    <w:unhideWhenUsed/>
    <w:qFormat/>
    <w:uiPriority w:val="0"/>
    <w:pPr>
      <w:keepNext/>
      <w:keepLines/>
      <w:numPr>
        <w:ilvl w:val="4"/>
        <w:numId w:val="1"/>
      </w:numPr>
      <w:spacing w:line="372" w:lineRule="auto"/>
      <w:outlineLvl w:val="4"/>
    </w:pPr>
    <w:rPr>
      <w:b/>
      <w:sz w:val="28"/>
    </w:rPr>
  </w:style>
  <w:style w:type="paragraph" w:styleId="7">
    <w:name w:val="heading 6"/>
    <w:basedOn w:val="1"/>
    <w:next w:val="1"/>
    <w:unhideWhenUsed/>
    <w:qFormat/>
    <w:uiPriority w:val="0"/>
    <w:pPr>
      <w:keepNext/>
      <w:keepLines/>
      <w:numPr>
        <w:ilvl w:val="5"/>
        <w:numId w:val="1"/>
      </w:numPr>
      <w:spacing w:line="317" w:lineRule="auto"/>
      <w:outlineLvl w:val="5"/>
    </w:pPr>
    <w:rPr>
      <w:rFonts w:ascii="Arial" w:hAnsi="Arial" w:eastAsia="黑体"/>
      <w:b/>
      <w:sz w:val="24"/>
    </w:rPr>
  </w:style>
  <w:style w:type="paragraph" w:styleId="8">
    <w:name w:val="heading 7"/>
    <w:basedOn w:val="1"/>
    <w:next w:val="1"/>
    <w:unhideWhenUsed/>
    <w:qFormat/>
    <w:uiPriority w:val="0"/>
    <w:pPr>
      <w:keepNext/>
      <w:keepLines/>
      <w:numPr>
        <w:ilvl w:val="6"/>
        <w:numId w:val="1"/>
      </w:numPr>
      <w:spacing w:line="317" w:lineRule="auto"/>
      <w:outlineLvl w:val="6"/>
    </w:pPr>
    <w:rPr>
      <w:b/>
      <w:sz w:val="24"/>
    </w:rPr>
  </w:style>
  <w:style w:type="paragraph" w:styleId="9">
    <w:name w:val="heading 8"/>
    <w:basedOn w:val="1"/>
    <w:next w:val="1"/>
    <w:unhideWhenUsed/>
    <w:qFormat/>
    <w:uiPriority w:val="0"/>
    <w:pPr>
      <w:keepNext/>
      <w:keepLines/>
      <w:numPr>
        <w:ilvl w:val="7"/>
        <w:numId w:val="1"/>
      </w:numPr>
      <w:spacing w:line="317" w:lineRule="auto"/>
      <w:outlineLvl w:val="7"/>
    </w:pPr>
    <w:rPr>
      <w:rFonts w:ascii="Arial" w:hAnsi="Arial" w:eastAsia="黑体"/>
      <w:sz w:val="24"/>
    </w:rPr>
  </w:style>
  <w:style w:type="paragraph" w:styleId="10">
    <w:name w:val="heading 9"/>
    <w:basedOn w:val="1"/>
    <w:next w:val="1"/>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rPr>
      <w:rFonts w:eastAsia="宋体"/>
      <w:sz w:val="24"/>
    </w:rPr>
  </w:style>
  <w:style w:type="paragraph" w:styleId="12">
    <w:name w:val="annotation text"/>
    <w:basedOn w:val="1"/>
    <w:qFormat/>
    <w:uiPriority w:val="0"/>
    <w:pPr>
      <w:jc w:val="left"/>
    </w:pPr>
  </w:style>
  <w:style w:type="paragraph" w:styleId="13">
    <w:name w:val="Body Text"/>
    <w:basedOn w:val="1"/>
    <w:next w:val="14"/>
    <w:qFormat/>
    <w:uiPriority w:val="0"/>
    <w:pPr>
      <w:spacing w:line="360" w:lineRule="auto"/>
      <w:ind w:firstLine="567"/>
    </w:pPr>
    <w:rPr>
      <w:rFonts w:ascii="宋体" w:hAnsi="宋体" w:eastAsia="宋体"/>
      <w:color w:val="000000"/>
      <w:u w:color="000000"/>
    </w:rPr>
  </w:style>
  <w:style w:type="paragraph" w:styleId="14">
    <w:name w:val="toc 1"/>
    <w:basedOn w:val="1"/>
    <w:next w:val="1"/>
    <w:qFormat/>
    <w:uiPriority w:val="0"/>
    <w:pPr>
      <w:adjustRightInd w:val="0"/>
      <w:snapToGrid w:val="0"/>
      <w:spacing w:before="120" w:line="288" w:lineRule="auto"/>
      <w:ind w:left="113" w:firstLine="0" w:firstLineChars="0"/>
      <w:jc w:val="left"/>
    </w:pPr>
    <w:rPr>
      <w:rFonts w:ascii="Arial" w:hAnsi="Arial"/>
      <w:bCs/>
      <w:iCs/>
      <w:sz w:val="28"/>
    </w:rPr>
  </w:style>
  <w:style w:type="paragraph" w:styleId="15">
    <w:name w:val="Body Text Indent"/>
    <w:basedOn w:val="1"/>
    <w:qFormat/>
    <w:uiPriority w:val="0"/>
    <w:pPr>
      <w:ind w:left="420" w:leftChars="200"/>
    </w:pPr>
  </w:style>
  <w:style w:type="paragraph" w:styleId="16">
    <w:name w:val="footer"/>
    <w:qFormat/>
    <w:uiPriority w:val="0"/>
    <w:pPr>
      <w:widowControl w:val="0"/>
      <w:tabs>
        <w:tab w:val="center" w:pos="4153"/>
        <w:tab w:val="right" w:pos="8306"/>
      </w:tabs>
      <w:snapToGrid w:val="0"/>
      <w:spacing w:line="560" w:lineRule="exact"/>
      <w:ind w:firstLine="880" w:firstLineChars="200"/>
    </w:pPr>
    <w:rPr>
      <w:rFonts w:ascii="仿宋_GB2312" w:hAnsi="仿宋" w:eastAsia="仿宋_GB2312" w:cs="Times New Roman"/>
      <w:kern w:val="2"/>
      <w:sz w:val="18"/>
      <w:szCs w:val="18"/>
      <w:lang w:val="en-US" w:eastAsia="zh-CN" w:bidi="ar-SA"/>
    </w:rPr>
  </w:style>
  <w:style w:type="paragraph" w:styleId="17">
    <w:name w:val="header"/>
    <w:qFormat/>
    <w:uiPriority w:val="0"/>
    <w:pPr>
      <w:widowControl w:val="0"/>
      <w:tabs>
        <w:tab w:val="center" w:pos="4153"/>
        <w:tab w:val="right" w:pos="8306"/>
      </w:tabs>
      <w:snapToGrid w:val="0"/>
      <w:spacing w:line="620" w:lineRule="exact"/>
      <w:ind w:firstLine="200" w:firstLineChars="200"/>
      <w:jc w:val="center"/>
    </w:pPr>
    <w:rPr>
      <w:rFonts w:ascii="仿宋_GB2312" w:hAnsi="仿宋" w:eastAsia="仿宋_GB2312" w:cs="Times New Roman"/>
      <w:kern w:val="2"/>
      <w:sz w:val="18"/>
      <w:szCs w:val="18"/>
      <w:lang w:val="en-US" w:eastAsia="zh-CN" w:bidi="ar-SA"/>
    </w:rPr>
  </w:style>
  <w:style w:type="paragraph" w:styleId="18">
    <w:name w:val="Body Text First Indent 2"/>
    <w:basedOn w:val="15"/>
    <w:next w:val="1"/>
    <w:qFormat/>
    <w:uiPriority w:val="0"/>
    <w:pPr>
      <w:ind w:firstLine="42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标题 3 Char"/>
    <w:link w:val="4"/>
    <w:qFormat/>
    <w:uiPriority w:val="9"/>
    <w:rPr>
      <w:rFonts w:ascii="宋体" w:hAnsi="宋体" w:eastAsia="宋体" w:cs="Times New Roman"/>
      <w:b/>
      <w:szCs w:val="32"/>
    </w:rPr>
  </w:style>
  <w:style w:type="character" w:customStyle="1" w:styleId="23">
    <w:name w:val="标题 2 Char"/>
    <w:link w:val="3"/>
    <w:qFormat/>
    <w:uiPriority w:val="9"/>
    <w:rPr>
      <w:rFonts w:eastAsia="宋体" w:cs="Times New Roman" w:asciiTheme="minorHAnsi" w:hAnsiTheme="minorHAnsi"/>
      <w:b/>
      <w:sz w:val="36"/>
      <w:szCs w:val="20"/>
      <w:lang w:val="en-GB"/>
    </w:rPr>
  </w:style>
  <w:style w:type="character" w:customStyle="1" w:styleId="24">
    <w:name w:val="标题 1 Char"/>
    <w:link w:val="2"/>
    <w:qFormat/>
    <w:uiPriority w:val="9"/>
    <w:rPr>
      <w:rFonts w:ascii="仿宋" w:hAnsi="仿宋" w:eastAsia="宋体" w:cs="仿宋"/>
      <w:b/>
      <w:bCs/>
      <w:kern w:val="44"/>
      <w:sz w:val="40"/>
      <w:szCs w:val="44"/>
      <w:lang w:val="zh-CN" w:bidi="zh-CN"/>
    </w:rPr>
  </w:style>
  <w:style w:type="paragraph" w:customStyle="1" w:styleId="25">
    <w:name w:val="页眉与页脚"/>
    <w:qFormat/>
    <w:uiPriority w:val="0"/>
    <w:pPr>
      <w:tabs>
        <w:tab w:val="right" w:pos="9020"/>
      </w:tabs>
    </w:pPr>
    <w:rPr>
      <w:rFonts w:ascii="Helvetica Neue" w:hAnsi="Helvetica Neue" w:eastAsia="Helvetica Neue" w:cs="Helvetica Neue"/>
      <w:color w:val="000000"/>
      <w:sz w:val="24"/>
      <w:szCs w:val="24"/>
      <w:lang w:val="en-US" w:eastAsia="zh-CN" w:bidi="ar-SA"/>
    </w:rPr>
  </w:style>
  <w:style w:type="paragraph" w:customStyle="1" w:styleId="26">
    <w:name w:val="页眉与页脚 B"/>
    <w:qFormat/>
    <w:uiPriority w:val="0"/>
    <w:pPr>
      <w:widowControl w:val="0"/>
      <w:tabs>
        <w:tab w:val="right" w:pos="9020"/>
      </w:tabs>
      <w:jc w:val="both"/>
    </w:pPr>
    <w:rPr>
      <w:rFonts w:ascii="Helvetica Neue" w:hAnsi="Helvetica Neue" w:eastAsia="Helvetica Neue" w:cs="Helvetica Neue"/>
      <w:color w:val="000000"/>
      <w:sz w:val="24"/>
      <w:szCs w:val="24"/>
      <w:lang w:val="en-US" w:eastAsia="zh-CN" w:bidi="ar-SA"/>
    </w:rPr>
  </w:style>
  <w:style w:type="character" w:customStyle="1" w:styleId="27">
    <w:name w:val="font81"/>
    <w:basedOn w:val="21"/>
    <w:qFormat/>
    <w:uiPriority w:val="0"/>
    <w:rPr>
      <w:rFonts w:ascii="华文仿宋" w:hAnsi="华文仿宋" w:eastAsia="华文仿宋" w:cs="华文仿宋"/>
      <w:b/>
      <w:bCs/>
      <w:color w:val="000000"/>
      <w:sz w:val="20"/>
      <w:szCs w:val="20"/>
      <w:u w:val="none"/>
    </w:rPr>
  </w:style>
  <w:style w:type="character" w:customStyle="1" w:styleId="28">
    <w:name w:val="font71"/>
    <w:basedOn w:val="21"/>
    <w:qFormat/>
    <w:uiPriority w:val="0"/>
    <w:rPr>
      <w:rFonts w:hint="default" w:ascii="华文仿宋" w:hAnsi="华文仿宋" w:eastAsia="华文仿宋" w:cs="华文仿宋"/>
      <w:color w:val="000000"/>
      <w:sz w:val="16"/>
      <w:szCs w:val="16"/>
      <w:u w:val="none"/>
    </w:rPr>
  </w:style>
  <w:style w:type="character" w:customStyle="1" w:styleId="29">
    <w:name w:val="font31"/>
    <w:basedOn w:val="21"/>
    <w:qFormat/>
    <w:uiPriority w:val="0"/>
    <w:rPr>
      <w:rFonts w:hint="default" w:ascii="Arial Narrow" w:hAnsi="Arial Narrow" w:eastAsia="Arial Narrow" w:cs="Arial Narrow"/>
      <w:color w:val="000000"/>
      <w:sz w:val="16"/>
      <w:szCs w:val="16"/>
      <w:u w:val="none"/>
    </w:rPr>
  </w:style>
  <w:style w:type="character" w:customStyle="1" w:styleId="30">
    <w:name w:val="font51"/>
    <w:basedOn w:val="21"/>
    <w:qFormat/>
    <w:uiPriority w:val="0"/>
    <w:rPr>
      <w:rFonts w:ascii="华文仿宋" w:hAnsi="华文仿宋" w:eastAsia="华文仿宋" w:cs="华文仿宋"/>
      <w:color w:val="000000"/>
      <w:sz w:val="16"/>
      <w:szCs w:val="16"/>
      <w:u w:val="none"/>
    </w:rPr>
  </w:style>
  <w:style w:type="character" w:customStyle="1" w:styleId="31">
    <w:name w:val="font11"/>
    <w:basedOn w:val="21"/>
    <w:qFormat/>
    <w:uiPriority w:val="0"/>
    <w:rPr>
      <w:rFonts w:hint="default" w:ascii="Arial Narrow" w:hAnsi="Arial Narrow" w:eastAsia="Arial Narrow" w:cs="Arial Narrow"/>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9019</Words>
  <Characters>9839</Characters>
  <Lines>31</Lines>
  <Paragraphs>22</Paragraphs>
  <TotalTime>17</TotalTime>
  <ScaleCrop>false</ScaleCrop>
  <LinksUpToDate>false</LinksUpToDate>
  <CharactersWithSpaces>9977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2019-12-06T07:59:00Z</dcterms:created>
  <dc:creator>对天爱</dc:creator>
  <cp:lastModifiedBy>渐近线</cp:lastModifiedBy>
  <cp:lastPrinted>2021-10-20T01:30:00Z</cp:lastPrinted>
  <dcterms:modified xsi:type="dcterms:W3CDTF">2026-04-30T06:43:40Z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4E6785386ECE4C34AE139C91824FB725</vt:lpwstr>
  </property>
  <property fmtid="{D5CDD505-2E9C-101B-9397-08002B2CF9AE}" pid="4" name="KSOTemplateDocerSaveRecord">
    <vt:lpwstr>eyJoZGlkIjoiZTM0ZmVhNDcxYzA4ZWM4ODQ4MzA4NjVmNmY4ZjExMjMiLCJ1c2VySWQiOiIyNDMyNzUwMzgifQ==</vt:lpwstr>
  </property>
</Properties>
</file>